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5"/>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895"/>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895"/>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895"/>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895"/>
        <w:keepLines w:val="0"/>
        <w:keepNext w:val="0"/>
        <w:pageBreakBefore w:val="0"/>
        <w:rPr>
          <w:rFonts w:hint="eastAsia" w:ascii="黑体" w:hAnsi="黑体" w:eastAsia="黑体"/>
          <w:b/>
          <w:sz w:val="32"/>
        </w:rPr>
        <w:outlineLvl w:val="9"/>
      </w:pPr>
      <w:r>
        <w:rPr>
          <w:rFonts w:hint="eastAsia" w:ascii="黑体" w:hAnsi="黑体" w:eastAsia="黑体"/>
          <w:b/>
          <w:sz w:val="32"/>
        </w:rPr>
        <w:t xml:space="preserve"> </w:t>
      </w:r>
      <w:r>
        <w:rPr>
          <w:rFonts w:hint="eastAsia" w:ascii="黑体" w:hAnsi="黑体" w:eastAsia="黑体"/>
          <w:b/>
          <w:sz w:val="32"/>
        </w:rPr>
      </w:r>
      <w:r/>
    </w:p>
    <w:p>
      <w:pPr>
        <w:pStyle w:val="89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5"/>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 淮安市急救中心救护车及配套设施采购</w:t>
      </w:r>
      <w:r>
        <w:rPr>
          <w:rFonts w:hint="eastAsia" w:ascii="黑体" w:hAnsi="黑体" w:eastAsia="黑体"/>
          <w:b/>
          <w:sz w:val="36"/>
          <w:szCs w:val="36"/>
        </w:rPr>
      </w:r>
      <w:r/>
    </w:p>
    <w:p>
      <w:pPr>
        <w:pStyle w:val="895"/>
        <w:ind w:firstLine="354"/>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r>
      <w:r/>
    </w:p>
    <w:p>
      <w:pPr>
        <w:pStyle w:val="895"/>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95"/>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95"/>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 JSZC-320800-JZCG-G2025-0110</w:t>
      </w:r>
      <w:r>
        <w:rPr>
          <w:rFonts w:hint="eastAsia" w:ascii="黑体" w:hAnsi="黑体" w:eastAsia="黑体"/>
          <w:b/>
          <w:sz w:val="36"/>
        </w:rPr>
      </w:r>
      <w:r/>
    </w:p>
    <w:p>
      <w:pPr>
        <w:pStyle w:val="895"/>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895"/>
        <w:keepLines w:val="0"/>
        <w:keepNext w:val="0"/>
        <w:pageBreakBefore w:val="0"/>
        <w:rPr>
          <w:rFonts w:ascii="黑体" w:hAnsi="黑体" w:eastAsia="黑体"/>
          <w:b/>
          <w:sz w:val="32"/>
        </w:rPr>
        <w:outlineLvl w:val="9"/>
      </w:pPr>
      <w:r>
        <w:rPr>
          <w:rFonts w:ascii="黑体" w:hAnsi="黑体" w:eastAsia="黑体"/>
          <w:b/>
          <w:sz w:val="32"/>
        </w:rPr>
      </w:r>
      <w:r/>
    </w:p>
    <w:p>
      <w:pPr>
        <w:pStyle w:val="89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5"/>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895"/>
        <w:jc w:val="center"/>
        <w:keepLines w:val="0"/>
        <w:keepNext w:val="0"/>
        <w:pageBreakBefore w:val="0"/>
        <w:spacing w:line="600" w:lineRule="exact"/>
        <w:tabs>
          <w:tab w:val="center" w:pos="5215" w:leader="none"/>
        </w:tabs>
        <w:rPr>
          <w:rFonts w:hint="eastAsia" w:ascii="黑体" w:hAnsi="黑体" w:eastAsia="黑体"/>
          <w:b/>
          <w:sz w:val="36"/>
          <w:szCs w:val="36"/>
        </w:rPr>
        <w:outlineLvl w:val="9"/>
      </w:pPr>
      <w:r>
        <w:rPr>
          <w:rFonts w:hint="eastAsia" w:ascii="黑体" w:hAnsi="黑体" w:eastAsia="黑体"/>
          <w:b/>
          <w:sz w:val="36"/>
          <w:szCs w:val="36"/>
        </w:rPr>
        <w:t xml:space="preserve">二0二</w:t>
      </w:r>
      <w:r>
        <w:rPr>
          <w:rFonts w:hint="eastAsia" w:ascii="黑体" w:hAnsi="黑体" w:eastAsia="黑体"/>
          <w:b/>
          <w:sz w:val="36"/>
          <w:szCs w:val="36"/>
          <w:lang w:eastAsia="zh-CN"/>
        </w:rPr>
        <w:t xml:space="preserve">五</w:t>
      </w:r>
      <w:r>
        <w:rPr>
          <w:rFonts w:hint="eastAsia" w:ascii="黑体" w:hAnsi="黑体" w:eastAsia="黑体"/>
          <w:b/>
          <w:sz w:val="36"/>
          <w:szCs w:val="36"/>
        </w:rPr>
        <w:t xml:space="preserve">年</w:t>
      </w:r>
      <w:r>
        <w:rPr>
          <w:rFonts w:hint="eastAsia" w:ascii="黑体" w:hAnsi="黑体" w:eastAsia="黑体"/>
          <w:b/>
          <w:sz w:val="36"/>
          <w:szCs w:val="36"/>
          <w:lang w:eastAsia="zh-CN"/>
        </w:rPr>
        <w:t xml:space="preserve">十</w:t>
      </w:r>
      <w:r>
        <w:rPr>
          <w:rFonts w:hint="eastAsia" w:ascii="黑体" w:hAnsi="黑体" w:eastAsia="黑体"/>
          <w:b/>
          <w:sz w:val="36"/>
          <w:szCs w:val="36"/>
        </w:rPr>
        <w:t xml:space="preserve">月</w:t>
      </w:r>
      <w:r>
        <w:rPr>
          <w:rFonts w:hint="eastAsia" w:ascii="黑体" w:hAnsi="黑体" w:eastAsia="黑体"/>
          <w:b/>
          <w:sz w:val="36"/>
          <w:szCs w:val="36"/>
          <w:lang w:eastAsia="zh-CN"/>
        </w:rPr>
        <w:t xml:space="preserve">二十</w:t>
      </w:r>
      <w:r>
        <w:rPr>
          <w:rFonts w:hint="eastAsia" w:ascii="黑体" w:hAnsi="黑体" w:eastAsia="黑体"/>
          <w:b/>
          <w:sz w:val="36"/>
          <w:szCs w:val="36"/>
        </w:rPr>
        <w:t xml:space="preserve">七</w:t>
      </w:r>
      <w:r>
        <w:rPr>
          <w:rFonts w:hint="eastAsia" w:ascii="黑体" w:hAnsi="黑体" w:eastAsia="黑体"/>
          <w:b/>
          <w:sz w:val="36"/>
          <w:szCs w:val="36"/>
        </w:rPr>
        <w:t xml:space="preserve">日</w:t>
      </w:r>
      <w:r>
        <w:rPr>
          <w:rFonts w:hint="eastAsia" w:ascii="黑体" w:hAnsi="黑体" w:eastAsia="黑体"/>
          <w:b/>
          <w:sz w:val="36"/>
          <w:szCs w:val="36"/>
        </w:rPr>
      </w:r>
      <w:r/>
    </w:p>
    <w:p>
      <w:pPr>
        <w:pStyle w:val="895"/>
        <w:keepLines w:val="0"/>
        <w:keepNext w:val="0"/>
        <w:pageBreakBefore w:val="0"/>
        <w:rPr>
          <w:rFonts w:hint="eastAsia" w:ascii="宋体" w:hAnsi="宋体"/>
          <w:sz w:val="24"/>
        </w:rPr>
        <w:outlineLvl w:val="9"/>
      </w:pPr>
      <w:r>
        <w:rPr>
          <w:rFonts w:hint="eastAsia" w:ascii="宋体" w:hAnsi="宋体"/>
          <w:sz w:val="24"/>
        </w:rPr>
      </w:r>
      <w:r/>
    </w:p>
    <w:p>
      <w:pPr>
        <w:pStyle w:val="895"/>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895"/>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受淮安市急救中心的委托，淮安市政府采购中心就淮安市急救中心救护车及配套设施采购政府采购项目进行公开招标采购，现邀请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895"/>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79324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761355" cy="1793240"/>
                        </a:xfrm>
                        <a:prstGeom prst="rect">
                          <a:avLst/>
                        </a:prstGeom>
                        <a:solidFill>
                          <a:srgbClr val="FFFFFF"/>
                        </a:solidFill>
                        <a:ln>
                          <a:solidFill>
                            <a:srgbClr val="000000"/>
                          </a:solidFill>
                        </a:ln>
                      </wps:spPr>
                      <wps:txbx>
                        <w:txbxContent>
                          <w:p>
                            <w:pPr>
                              <w:pStyle w:val="895"/>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淮安市急救中心救护车及配套设施采购</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2025</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月18日9点30分（北京时间）前提交投标文件。</w:t>
                            </w:r>
                            <w:r>
                              <w:rPr>
                                <w:rFonts w:ascii="仿宋" w:hAnsi="仿宋" w:eastAsia="仿宋"/>
                                <w:sz w:val="28"/>
                                <w:szCs w:val="28"/>
                              </w:rPr>
                            </w:r>
                            <w:r/>
                          </w:p>
                          <w:p>
                            <w:pPr>
                              <w:pStyle w:val="895"/>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1.7pt;mso-position-horizontal:absolute;mso-position-vertical-relative:text;margin-top:9.5pt;mso-position-vertical:absolute;width:453.6pt;height:141.2pt;mso-wrap-distance-left:9.0pt;mso-wrap-distance-top:0.0pt;mso-wrap-distance-right:9.0pt;mso-wrap-distance-bottom:0.0pt;visibility:visible;" fillcolor="#FFFFFF" strokecolor="#000000">
                <v:textbox inset="0,0,0,0">
                  <w:txbxContent>
                    <w:p>
                      <w:pPr>
                        <w:pStyle w:val="895"/>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淮安市急救中心救护车及配套设施采购</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2025</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月18日9点30分（北京时间）前提交投标文件。</w:t>
                      </w:r>
                      <w:r>
                        <w:rPr>
                          <w:rFonts w:ascii="仿宋" w:hAnsi="仿宋" w:eastAsia="仿宋"/>
                          <w:sz w:val="28"/>
                          <w:szCs w:val="28"/>
                        </w:rPr>
                      </w:r>
                      <w:r/>
                    </w:p>
                    <w:p>
                      <w:pPr>
                        <w:pStyle w:val="895"/>
                      </w:pPr>
                      <w:r/>
                      <w:r/>
                    </w:p>
                  </w:txbxContent>
                </v:textbox>
              </v:shape>
            </w:pict>
          </mc:Fallback>
        </mc:AlternateContent>
      </w:r>
      <w:r>
        <w:rPr>
          <w:rFonts w:hint="eastAsia" w:ascii="仿宋" w:hAnsi="仿宋" w:eastAsia="仿宋"/>
          <w:sz w:val="28"/>
          <w:szCs w:val="28"/>
        </w:rPr>
      </w:r>
      <w:r/>
    </w:p>
    <w:p>
      <w:pPr>
        <w:pStyle w:val="895"/>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5"/>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5"/>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5"/>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5"/>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pStyle w:val="895"/>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895"/>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（一）项目编号:JSZC-320800-JZCG-G2025-0110</w:t>
      </w:r>
      <w:r>
        <w:rPr>
          <w:rFonts w:hint="eastAsia" w:ascii="仿宋" w:hAnsi="仿宋" w:eastAsia="仿宋"/>
          <w:sz w:val="28"/>
          <w:szCs w:val="28"/>
        </w:rPr>
      </w:r>
      <w:r/>
    </w:p>
    <w:p>
      <w:pPr>
        <w:pStyle w:val="89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w:t>
      </w:r>
      <w:r>
        <w:rPr>
          <w:rFonts w:hint="eastAsia" w:ascii="仿宋" w:hAnsi="仿宋" w:eastAsia="仿宋"/>
          <w:bCs/>
          <w:sz w:val="28"/>
        </w:rPr>
        <w:t xml:space="preserve">淮安市急救中心救护车及配套设施采购</w:t>
      </w:r>
      <w:r>
        <w:rPr>
          <w:rFonts w:ascii="仿宋" w:hAnsi="仿宋" w:eastAsia="仿宋"/>
          <w:sz w:val="28"/>
          <w:szCs w:val="28"/>
        </w:rPr>
      </w:r>
      <w:r/>
    </w:p>
    <w:p>
      <w:pPr>
        <w:pStyle w:val="89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（三）预算金额:</w:t>
      </w:r>
      <w:r>
        <w:rPr>
          <w:rFonts w:hint="eastAsia" w:ascii="仿宋" w:hAnsi="仿宋" w:eastAsia="仿宋"/>
          <w:sz w:val="28"/>
          <w:szCs w:val="28"/>
          <w:lang w:val="en-US" w:eastAsia="zh-CN"/>
        </w:rPr>
        <w:t xml:space="preserve">136</w:t>
      </w:r>
      <w:r>
        <w:rPr>
          <w:rFonts w:hint="eastAsia" w:ascii="仿宋" w:hAnsi="仿宋" w:eastAsia="仿宋"/>
          <w:sz w:val="28"/>
          <w:szCs w:val="28"/>
        </w:rPr>
        <w:t xml:space="preserve">万元</w:t>
      </w:r>
      <w:r>
        <w:rPr>
          <w:rFonts w:ascii="仿宋" w:hAnsi="仿宋" w:eastAsia="仿宋"/>
          <w:sz w:val="28"/>
          <w:szCs w:val="28"/>
        </w:rPr>
      </w:r>
      <w:r/>
    </w:p>
    <w:p>
      <w:pPr>
        <w:pStyle w:val="89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（四）最高限价:</w:t>
      </w:r>
      <w:r>
        <w:rPr>
          <w:rFonts w:hint="eastAsia" w:ascii="仿宋" w:hAnsi="仿宋" w:eastAsia="仿宋"/>
          <w:sz w:val="28"/>
          <w:szCs w:val="28"/>
          <w:lang w:val="en-US" w:eastAsia="zh-CN"/>
        </w:rPr>
        <w:t xml:space="preserve">136</w:t>
      </w:r>
      <w:r>
        <w:rPr>
          <w:rFonts w:hint="eastAsia" w:ascii="仿宋" w:hAnsi="仿宋" w:eastAsia="仿宋"/>
          <w:sz w:val="28"/>
          <w:szCs w:val="28"/>
        </w:rPr>
        <w:t xml:space="preserve">万元</w:t>
      </w:r>
      <w:r>
        <w:rPr>
          <w:rFonts w:ascii="仿宋" w:hAnsi="仿宋" w:eastAsia="仿宋"/>
          <w:sz w:val="28"/>
          <w:szCs w:val="28"/>
        </w:rPr>
      </w:r>
      <w:r/>
    </w:p>
    <w:p>
      <w:pPr>
        <w:pStyle w:val="89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（五）采购需求:淮安市急救中心救护车及配套设施采购，具体详见第五章采购需求。</w:t>
      </w:r>
      <w:r>
        <w:rPr>
          <w:rFonts w:ascii="仿宋" w:hAnsi="仿宋" w:eastAsia="仿宋"/>
          <w:sz w:val="28"/>
          <w:szCs w:val="28"/>
        </w:rPr>
      </w:r>
      <w:r/>
    </w:p>
    <w:p>
      <w:pPr>
        <w:pStyle w:val="895"/>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（六）合同履行期限: 合同签订后35日内供货安装调试到位。   </w:t>
      </w:r>
      <w:r>
        <w:rPr>
          <w:rFonts w:hint="eastAsia" w:ascii="仿宋" w:hAnsi="仿宋" w:eastAsia="仿宋"/>
          <w:sz w:val="28"/>
          <w:szCs w:val="28"/>
        </w:rPr>
      </w:r>
      <w:r/>
    </w:p>
    <w:p>
      <w:pPr>
        <w:pStyle w:val="895"/>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89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lang w:eastAsia="zh-CN"/>
        </w:rPr>
        <w:t xml:space="preserve">工业</w:t>
      </w:r>
      <w:r>
        <w:rPr>
          <w:rFonts w:hint="eastAsia" w:ascii="仿宋" w:hAnsi="仿宋" w:eastAsia="仿宋"/>
          <w:sz w:val="28"/>
          <w:szCs w:val="28"/>
        </w:rPr>
        <w:t xml:space="preserve">。</w:t>
      </w:r>
      <w:r>
        <w:rPr>
          <w:rFonts w:ascii="仿宋" w:hAnsi="仿宋" w:eastAsia="仿宋"/>
          <w:sz w:val="28"/>
          <w:szCs w:val="28"/>
        </w:rPr>
      </w:r>
      <w:r/>
    </w:p>
    <w:p>
      <w:pPr>
        <w:pStyle w:val="895"/>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rPr>
          <w:rFonts w:ascii="仿宋" w:hAnsi="仿宋" w:eastAsia="仿宋"/>
          <w:sz w:val="28"/>
          <w:szCs w:val="28"/>
        </w:rPr>
      </w:r>
      <w:r/>
    </w:p>
    <w:p>
      <w:pPr>
        <w:pStyle w:val="895"/>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895"/>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3</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95"/>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95"/>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95"/>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95"/>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895"/>
        <w:ind w:firstLine="560"/>
        <w:keepLines w:val="0"/>
        <w:keepNext w:val="0"/>
        <w:pageBreakBefore w:val="0"/>
        <w:spacing w:line="520" w:lineRule="exact"/>
        <w:rPr>
          <w:rFonts w:hint="eastAsia" w:ascii="仿宋" w:hAnsi="仿宋" w:eastAsia="仿宋"/>
          <w:color w:val="000000"/>
          <w:sz w:val="28"/>
          <w:szCs w:val="28"/>
          <w:lang w:val="zh-CN" w:eastAsia="zh-CN"/>
        </w:rPr>
        <w:outlineLvl w:val="9"/>
      </w:pPr>
      <w:r>
        <w:rPr>
          <w:rFonts w:hint="eastAsia" w:ascii="仿宋" w:hAnsi="仿宋" w:eastAsia="仿宋"/>
          <w:sz w:val="28"/>
          <w:szCs w:val="28"/>
        </w:rPr>
        <w:t xml:space="preserve">（三）本项目的特定资格要求:</w:t>
      </w:r>
      <w:r>
        <w:rPr>
          <w:rFonts w:hint="eastAsia" w:ascii="仿宋" w:hAnsi="仿宋" w:eastAsia="仿宋"/>
          <w:sz w:val="28"/>
          <w:szCs w:val="28"/>
          <w:lang w:eastAsia="zh-CN"/>
        </w:rPr>
        <w:t xml:space="preserve">无。</w:t>
      </w:r>
      <w:r>
        <w:rPr>
          <w:rFonts w:hint="eastAsia" w:ascii="仿宋" w:hAnsi="仿宋" w:eastAsia="仿宋"/>
          <w:color w:val="000000"/>
          <w:sz w:val="28"/>
          <w:szCs w:val="28"/>
          <w:lang w:val="zh-CN" w:eastAsia="zh-CN"/>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（四）拒绝下述条件的供应商参加本次采购活动:</w:t>
      </w:r>
      <w:r>
        <w:rPr>
          <w:rFonts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895"/>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895"/>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895"/>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（二）方式：在“淮安市政府采购网”自行免费下载招标文件。</w:t>
      </w:r>
      <w:r>
        <w:rPr>
          <w:rFonts w:hint="eastAsia" w:ascii="仿宋" w:hAnsi="仿宋" w:eastAsia="仿宋"/>
          <w:sz w:val="28"/>
          <w:szCs w:val="28"/>
        </w:rPr>
      </w:r>
      <w:r/>
    </w:p>
    <w:p>
      <w:pPr>
        <w:pStyle w:val="895"/>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895"/>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（一）投标文件提交截止时间及开标时间:202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月18日上午</w:t>
      </w:r>
      <w:r>
        <w:rPr>
          <w:rFonts w:ascii="仿宋" w:hAnsi="仿宋" w:eastAsia="仿宋"/>
          <w:sz w:val="28"/>
          <w:szCs w:val="28"/>
        </w:rPr>
        <w:t xml:space="preserve">9:30</w:t>
      </w:r>
      <w:r/>
    </w:p>
    <w:p>
      <w:pPr>
        <w:pStyle w:val="895"/>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895"/>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89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895"/>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89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895"/>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名称:淮安市急救中心</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地址:清江浦区枚皋路6号淮安国联商务中心A栋</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联系方式:梁俊业      0517-83932005</w:t>
      </w:r>
      <w:r>
        <w:rPr>
          <w:rFonts w:ascii="仿宋" w:hAnsi="仿宋" w:eastAsia="仿宋"/>
          <w:sz w:val="28"/>
          <w:szCs w:val="28"/>
        </w:rPr>
      </w:r>
      <w:r/>
    </w:p>
    <w:p>
      <w:pPr>
        <w:pStyle w:val="89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895"/>
        <w:ind w:firstLine="565"/>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刘乃源</w:t>
      </w:r>
      <w:r>
        <w:rPr>
          <w:rFonts w:hint="eastAsia" w:ascii="仿宋" w:hAnsi="仿宋" w:eastAsia="仿宋"/>
          <w:sz w:val="28"/>
          <w:szCs w:val="28"/>
          <w:lang w:val="en-US" w:eastAsia="zh-CN"/>
        </w:rPr>
        <w:t xml:space="preserve">      0517-80996036</w:t>
      </w:r>
      <w:r>
        <w:rPr>
          <w:rFonts w:ascii="仿宋" w:hAnsi="仿宋" w:eastAsia="仿宋"/>
          <w:sz w:val="28"/>
          <w:szCs w:val="28"/>
          <w:lang w:val="en-US" w:eastAsia="zh-CN"/>
        </w:rPr>
      </w:r>
      <w:r/>
    </w:p>
    <w:p>
      <w:pPr>
        <w:pStyle w:val="89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895"/>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89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895"/>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有关本次招标的事项若存在变动或修改，敬请及时关注淮安市政府采购中心在“淮安市政府采购网”发布的更正公告。</w:t>
      </w:r>
      <w:r>
        <w:rPr>
          <w:rFonts w:hint="eastAsia" w:ascii="仿宋" w:hAnsi="仿宋" w:eastAsia="仿宋"/>
          <w:sz w:val="28"/>
          <w:szCs w:val="28"/>
        </w:rPr>
      </w:r>
      <w:r/>
    </w:p>
    <w:p>
      <w:pPr>
        <w:pStyle w:val="895"/>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895"/>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895"/>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89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89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895"/>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895"/>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89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rPr>
          <w:rFonts w:hint="eastAsia" w:ascii="仿宋" w:hAnsi="仿宋" w:eastAsia="仿宋"/>
          <w:sz w:val="28"/>
          <w:szCs w:val="28"/>
        </w:rPr>
      </w:r>
      <w:r/>
    </w:p>
    <w:p>
      <w:pPr>
        <w:pStyle w:val="89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895"/>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895"/>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895"/>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895"/>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895"/>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89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合同文本</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.4评标方法与评标标准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lang w:val="en-US" w:eastAsia="zh-CN"/>
        </w:rPr>
      </w:r>
      <w:r/>
    </w:p>
    <w:p>
      <w:pPr>
        <w:pStyle w:val="895"/>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895"/>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895"/>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895"/>
        <w:keepLines w:val="0"/>
        <w:keepNext w:val="0"/>
        <w:pageBreakBefore w:val="0"/>
        <w:spacing w:line="520" w:lineRule="exact"/>
        <w:rPr>
          <w:rFonts w:ascii="仿宋" w:hAnsi="仿宋" w:eastAsia="仿宋"/>
          <w:sz w:val="28"/>
          <w:szCs w:val="28"/>
        </w:rPr>
        <w:outlineLvl w:val="9"/>
      </w:pPr>
      <w:r/>
      <w:bookmarkStart w:id="0" w:name="_Toc16938530"/>
      <w:r/>
      <w:bookmarkStart w:id="1" w:name="_Toc462564073"/>
      <w:r/>
      <w:bookmarkStart w:id="2" w:name="_Toc513029214"/>
      <w:r/>
      <w:bookmarkStart w:id="3" w:name="_Toc20823286"/>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89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89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89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89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89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895"/>
        <w:keepLines w:val="0"/>
        <w:keepNext w:val="0"/>
        <w:pageBreakBefore w:val="0"/>
        <w:spacing w:line="520" w:lineRule="exact"/>
        <w:rPr>
          <w:rFonts w:ascii="仿宋" w:hAnsi="仿宋" w:eastAsia="仿宋"/>
          <w:sz w:val="28"/>
          <w:szCs w:val="28"/>
        </w:rPr>
        <w:outlineLvl w:val="9"/>
      </w:pPr>
      <w:r/>
      <w:bookmarkStart w:id="4" w:name="_Toc14577359"/>
      <w:r/>
      <w:bookmarkStart w:id="5" w:name="_Toc49090510"/>
      <w:r>
        <w:rPr>
          <w:rFonts w:hint="eastAsia" w:ascii="仿宋" w:hAnsi="仿宋" w:eastAsia="仿宋"/>
          <w:sz w:val="28"/>
          <w:szCs w:val="28"/>
        </w:rPr>
        <w:t xml:space="preserve">14.投标函和开标一览表</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895"/>
        <w:keepLines w:val="0"/>
        <w:keepNext w:val="0"/>
        <w:pageBreakBefore w:val="0"/>
        <w:spacing w:line="520" w:lineRule="exact"/>
        <w:rPr>
          <w:rFonts w:ascii="仿宋" w:hAnsi="仿宋" w:eastAsia="仿宋"/>
          <w:sz w:val="28"/>
          <w:szCs w:val="28"/>
        </w:rPr>
        <w:outlineLvl w:val="9"/>
      </w:pPr>
      <w:r/>
      <w:bookmarkEnd w:id="4"/>
      <w:r/>
      <w:bookmarkEnd w:id="5"/>
      <w:r/>
      <w:bookmarkStart w:id="6" w:name="_Toc49090511"/>
      <w:r/>
      <w:bookmarkStart w:id="7" w:name="_Toc14577360"/>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89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895"/>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t xml:space="preserve">（如本项目涉及的话）</w:t>
      </w:r>
      <w:r>
        <w:rPr>
          <w:rFonts w:hint="eastAsia" w:ascii="仿宋" w:hAnsi="仿宋" w:eastAsia="仿宋"/>
          <w:bCs/>
          <w:sz w:val="28"/>
          <w:szCs w:val="28"/>
          <w:lang w:eastAsia="zh-CN"/>
        </w:rPr>
      </w:r>
      <w:r/>
    </w:p>
    <w:p>
      <w:pPr>
        <w:pStyle w:val="895"/>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本项目评标标准中的方案部分采用暗标方式进行评审。</w:t>
      </w:r>
      <w:r>
        <w:rPr>
          <w:rFonts w:hint="eastAsia" w:ascii="仿宋" w:hAnsi="仿宋" w:eastAsia="仿宋"/>
          <w:bCs/>
          <w:sz w:val="28"/>
          <w:szCs w:val="28"/>
        </w:rPr>
      </w:r>
      <w:r/>
    </w:p>
    <w:p>
      <w:pPr>
        <w:pStyle w:val="895"/>
        <w:ind w:firstLine="560"/>
        <w:keepLines w:val="0"/>
        <w:keepNext w:val="0"/>
        <w:pageBreakBefore w:val="0"/>
        <w:spacing w:line="520" w:lineRule="exact"/>
        <w:rPr>
          <w:rFonts w:ascii="仿宋" w:hAnsi="仿宋" w:eastAsia="仿宋"/>
          <w:bCs/>
          <w:sz w:val="28"/>
          <w:szCs w:val="28"/>
        </w:rPr>
        <w:outlineLvl w:val="9"/>
      </w:pPr>
      <w:r>
        <w:rPr>
          <w:rFonts w:hint="eastAsia" w:ascii="仿宋" w:hAnsi="仿宋" w:eastAsia="仿宋"/>
          <w:bCs/>
          <w:sz w:val="28"/>
          <w:szCs w:val="28"/>
        </w:rPr>
        <w:t xml:space="preserve">17.2</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方案部分采用暗标方式进行评审的编制要求：</w:t>
      </w:r>
      <w:r>
        <w:rPr>
          <w:rFonts w:ascii="仿宋" w:hAnsi="仿宋" w:eastAsia="仿宋"/>
          <w:bCs/>
          <w:sz w:val="28"/>
          <w:szCs w:val="28"/>
        </w:rPr>
      </w:r>
      <w:r/>
    </w:p>
    <w:p>
      <w:pPr>
        <w:pStyle w:val="895"/>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仿宋" w:hAnsi="仿宋" w:eastAsia="仿宋"/>
          <w:bCs/>
          <w:sz w:val="28"/>
          <w:szCs w:val="28"/>
          <w:highlight w:val="none"/>
        </w:rPr>
      </w:r>
      <w:r/>
    </w:p>
    <w:p>
      <w:pPr>
        <w:pStyle w:val="895"/>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17.3</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供应商应按第17.2的要求编制方案，经三分之二评委认定，供应商未按第17.2的要求编制方案的，按未提供方案处理。</w:t>
      </w:r>
      <w:r>
        <w:rPr>
          <w:rFonts w:hint="eastAsia" w:ascii="仿宋" w:hAnsi="仿宋" w:eastAsia="仿宋"/>
          <w:bCs/>
          <w:sz w:val="28"/>
          <w:szCs w:val="28"/>
        </w:rPr>
      </w:r>
      <w:r/>
    </w:p>
    <w:p>
      <w:pPr>
        <w:pStyle w:val="895"/>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89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89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895"/>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895"/>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895"/>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895"/>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投标人在开标过程中涉及到的投标文件解密、开标结果确认等工作，应按照《操作手册》规定执行。</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895"/>
        <w:keepLines w:val="0"/>
        <w:keepNext w:val="0"/>
        <w:pageBreakBefore w:val="0"/>
        <w:spacing w:line="520" w:lineRule="exact"/>
        <w:rPr>
          <w:rFonts w:ascii="仿宋" w:hAnsi="仿宋" w:eastAsia="仿宋"/>
          <w:sz w:val="28"/>
          <w:szCs w:val="28"/>
        </w:rPr>
        <w:outlineLvl w:val="9"/>
      </w:pPr>
      <w:r/>
      <w:bookmarkStart w:id="9" w:name="_Toc513029231"/>
      <w:r/>
      <w:bookmarkStart w:id="10" w:name="_Toc20823303"/>
      <w:r/>
      <w:bookmarkStart w:id="11" w:name="_Toc16938547"/>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89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895"/>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89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凡是与审查、澄清、评价和比较投标的有关资料以及授标建议等，采购人、评委、采购中心均不得向投标人或与评标无关的其他人员透露。</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895"/>
        <w:keepLines w:val="0"/>
        <w:keepNext w:val="0"/>
        <w:pageBreakBefore w:val="0"/>
        <w:spacing w:line="520" w:lineRule="exact"/>
        <w:rPr>
          <w:rFonts w:ascii="仿宋" w:hAnsi="仿宋" w:eastAsia="仿宋"/>
          <w:sz w:val="28"/>
          <w:szCs w:val="28"/>
        </w:rPr>
        <w:outlineLvl w:val="9"/>
      </w:pPr>
      <w:r/>
      <w:bookmarkStart w:id="12" w:name="_Toc20823304"/>
      <w:r/>
      <w:bookmarkStart w:id="13" w:name="_Toc16938548"/>
      <w:r/>
      <w:bookmarkStart w:id="14" w:name="_Toc513029232"/>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bookmarkStart w:id="15" w:name="_Toc16938549"/>
      <w:r/>
      <w:bookmarkStart w:id="16" w:name="_Toc20823305"/>
      <w:r/>
      <w:bookmarkStart w:id="17" w:name="_Toc513029233"/>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接到评委会澄清、说明和补正要求的投标人如未按规定做出澄清、说明和补正，其风险由投标人自行承担。</w:t>
      </w:r>
      <w:r>
        <w:rPr>
          <w:rFonts w:ascii="仿宋" w:hAnsi="仿宋" w:eastAsia="仿宋"/>
          <w:sz w:val="28"/>
          <w:szCs w:val="28"/>
        </w:rPr>
      </w:r>
      <w:r/>
    </w:p>
    <w:p>
      <w:pPr>
        <w:pStyle w:val="89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如果投标文件实质上没有响应招标文件的要求，评委会将予以拒绝，投标人不得通过修改或撤销不合要求的偏离或保留而使其投标成为实质性响应的投标。</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bookmarkStart w:id="18" w:name="_Toc513029234"/>
      <w:r/>
      <w:bookmarkStart w:id="19" w:name="_Toc16938550"/>
      <w:r/>
      <w:bookmarkStart w:id="20" w:name="_Toc20823306"/>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w:t>
      </w:r>
      <w:r>
        <w:rPr>
          <w:rFonts w:hint="eastAsia" w:ascii="仿宋" w:hAnsi="仿宋" w:eastAsia="仿宋"/>
          <w:sz w:val="28"/>
          <w:szCs w:val="28"/>
          <w:highlight w:val="none"/>
        </w:rPr>
        <w:t xml:space="preserve">的核心产品（</w:t>
      </w:r>
      <w:r>
        <w:rPr>
          <w:rFonts w:hint="eastAsia" w:ascii="仿宋" w:hAnsi="仿宋" w:eastAsia="仿宋"/>
          <w:sz w:val="28"/>
          <w:szCs w:val="28"/>
          <w:highlight w:val="none"/>
          <w:lang w:eastAsia="zh-CN"/>
        </w:rPr>
        <w:t xml:space="preserve">救护车</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ascii="仿宋" w:hAnsi="仿宋" w:eastAsia="仿宋"/>
          <w:sz w:val="28"/>
          <w:szCs w:val="28"/>
        </w:rPr>
        <w:t xml:space="preserve">多家投标人提供的核心产品品牌相同的，按前两款规定处理。</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ascii="仿宋" w:hAnsi="仿宋" w:eastAsia="仿宋"/>
          <w:sz w:val="28"/>
          <w:szCs w:val="28"/>
        </w:rPr>
      </w:r>
      <w:r/>
    </w:p>
    <w:p>
      <w:pPr>
        <w:pStyle w:val="89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lang w:val="en-US" w:eastAsia="zh-CN"/>
        </w:rPr>
        <w:t xml:space="preserve">6</w:t>
      </w:r>
      <w:r>
        <w:rPr>
          <w:rFonts w:hint="eastAsia" w:ascii="仿宋" w:hAnsi="仿宋" w:eastAsia="仿宋"/>
          <w:sz w:val="28"/>
          <w:szCs w:val="28"/>
        </w:rPr>
        <w:t xml:space="preserve">.无效投标条款和废标条款</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bookmarkStart w:id="21" w:name="_Toc20823307"/>
      <w:r/>
      <w:bookmarkStart w:id="22" w:name="_Toc513029235"/>
      <w:r/>
      <w:bookmarkStart w:id="23" w:name="_Toc16938551"/>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.1无效投标条款</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不符合招标文件中规定的实质性要求和条件的（实质性要求和条件是指本招标文件中用带星号（“★”）的商务和技术要求）。</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10</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评标委员会认为投标人的报价</w:t>
      </w:r>
      <w:r>
        <w:rPr>
          <w:rFonts w:hint="eastAsia" w:ascii="仿宋" w:hAnsi="仿宋" w:eastAsia="仿宋"/>
          <w:sz w:val="28"/>
          <w:szCs w:val="28"/>
          <w:lang w:eastAsia="zh-CN"/>
        </w:rPr>
        <w:t xml:space="preserve">属于《关于推动解决政府采购异常低价问题相关工作的通知》（苏财购〔2025〕62号）</w:t>
      </w:r>
      <w:r>
        <w:rPr>
          <w:rFonts w:hint="eastAsia" w:ascii="仿宋" w:hAnsi="仿宋" w:eastAsia="仿宋"/>
          <w:sz w:val="28"/>
          <w:szCs w:val="28"/>
          <w:lang w:val="en-US" w:eastAsia="zh-CN"/>
        </w:rPr>
        <w:t xml:space="preserve">异常低价情形的，</w:t>
      </w:r>
      <w:r>
        <w:rPr>
          <w:rFonts w:hint="eastAsia" w:ascii="仿宋" w:hAnsi="仿宋" w:eastAsia="仿宋"/>
          <w:sz w:val="28"/>
          <w:szCs w:val="28"/>
        </w:rPr>
        <w:t xml:space="preserve">将通过苏采云系统</w:t>
      </w:r>
      <w:r>
        <w:rPr>
          <w:rFonts w:hint="eastAsia" w:ascii="仿宋" w:hAnsi="仿宋" w:eastAsia="仿宋"/>
          <w:sz w:val="28"/>
          <w:szCs w:val="28"/>
          <w:lang w:eastAsia="zh-CN"/>
        </w:rPr>
        <w:t xml:space="preserve">，按照苏财购〔2025〕62号文件要求启动异常低价投标审查程序，</w:t>
      </w:r>
      <w:r>
        <w:rPr>
          <w:rFonts w:hint="eastAsia" w:ascii="仿宋" w:hAnsi="仿宋" w:eastAsia="仿宋"/>
          <w:sz w:val="28"/>
          <w:szCs w:val="28"/>
        </w:rPr>
        <w:t xml:space="preserve">要求其在合理的时间内提供说明，必要时提交相关证明材料；投标人不能证明其报价合理性的，评标委员会应当将其作为无效投标处理。</w:t>
      </w:r>
      <w:r>
        <w:rPr>
          <w:rFonts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26.1.13 投标人未完全满足采购文件第五章“一、采购清单及技术参数要求”中</w:t>
      </w:r>
      <w:r>
        <w:rPr>
          <w:rFonts w:hint="eastAsia" w:ascii="仿宋" w:hAnsi="仿宋" w:eastAsia="仿宋"/>
          <w:sz w:val="28"/>
          <w:szCs w:val="28"/>
        </w:rPr>
        <w:t xml:space="preserve">“★”</w:t>
      </w:r>
      <w:r>
        <w:rPr>
          <w:rFonts w:hint="eastAsia" w:ascii="仿宋" w:hAnsi="仿宋" w:eastAsia="仿宋"/>
          <w:sz w:val="28"/>
          <w:szCs w:val="28"/>
          <w:lang w:eastAsia="zh-CN"/>
        </w:rPr>
        <w:t xml:space="preserve">技术参数要求的。</w:t>
      </w:r>
      <w:r>
        <w:rPr>
          <w:rFonts w:hint="eastAsia" w:ascii="仿宋" w:hAnsi="仿宋" w:eastAsia="仿宋"/>
          <w:sz w:val="28"/>
          <w:szCs w:val="28"/>
          <w:lang w:val="en-US" w:eastAsia="zh-CN"/>
        </w:rPr>
      </w:r>
      <w:r/>
    </w:p>
    <w:p>
      <w:pPr>
        <w:pStyle w:val="895"/>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26.1.14 投标人未按照采购文件第五章“一、采购清单及技术参数要求”中</w:t>
      </w:r>
      <w:r>
        <w:rPr>
          <w:rFonts w:hint="eastAsia" w:ascii="仿宋" w:hAnsi="仿宋" w:eastAsia="仿宋"/>
          <w:sz w:val="28"/>
          <w:szCs w:val="28"/>
        </w:rPr>
        <w:t xml:space="preserve">“★”</w:t>
      </w:r>
      <w:r>
        <w:rPr>
          <w:rFonts w:hint="eastAsia" w:ascii="仿宋" w:hAnsi="仿宋" w:eastAsia="仿宋"/>
          <w:sz w:val="28"/>
          <w:szCs w:val="28"/>
          <w:lang w:eastAsia="zh-CN"/>
        </w:rPr>
        <w:t xml:space="preserve">要求提供检测报告的。</w:t>
      </w:r>
      <w:r>
        <w:rPr>
          <w:rFonts w:hint="eastAsia" w:ascii="仿宋" w:hAnsi="仿宋" w:eastAsia="仿宋"/>
          <w:sz w:val="28"/>
          <w:szCs w:val="28"/>
          <w:lang w:eastAsia="zh-CN"/>
        </w:rPr>
      </w:r>
      <w:r/>
    </w:p>
    <w:p>
      <w:pPr>
        <w:pStyle w:val="895"/>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26.1.15 投标人未按照采购文件第五章“★二、质保期限及售后服务”</w:t>
      </w:r>
      <w:r>
        <w:rPr>
          <w:rFonts w:hint="eastAsia" w:ascii="仿宋" w:hAnsi="仿宋" w:eastAsia="仿宋"/>
          <w:sz w:val="28"/>
          <w:szCs w:val="28"/>
          <w:lang w:eastAsia="zh-CN"/>
        </w:rPr>
        <w:t xml:space="preserve">要求提供承诺书的。</w:t>
      </w:r>
      <w:r>
        <w:rPr>
          <w:rFonts w:ascii="仿宋" w:hAnsi="仿宋" w:eastAsia="仿宋"/>
          <w:sz w:val="28"/>
          <w:szCs w:val="28"/>
          <w:lang w:val="en-US" w:eastAsia="zh-CN"/>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其他法律、法规及本招标文件规定的属无效投标的情形。</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符合专业条件的供应商或者对招标文件作实质响应的供应商不足三家的。</w:t>
      </w:r>
      <w:r>
        <w:rPr>
          <w:rFonts w:hint="eastAsia"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因苏采云系统</w:t>
      </w:r>
      <w:r>
        <w:rPr>
          <w:rFonts w:ascii="仿宋" w:hAnsi="仿宋" w:eastAsia="仿宋"/>
          <w:sz w:val="28"/>
          <w:szCs w:val="28"/>
        </w:rPr>
        <w:t xml:space="preserve">系统故障原因造成开标不成功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投标截止时间结束后参加投标的供应商不足三家的处理：</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如出现投标截止时间结束后参加投标的供应商或者在评标期间对招标文件做出实质响应的供应商不足三家情况，按政府采购相关规定执行。</w:t>
      </w:r>
      <w:r>
        <w:rPr>
          <w:rFonts w:ascii="仿宋" w:hAnsi="仿宋" w:eastAsia="仿宋"/>
          <w:sz w:val="28"/>
          <w:szCs w:val="28"/>
        </w:rPr>
      </w:r>
      <w:r/>
    </w:p>
    <w:p>
      <w:pPr>
        <w:pStyle w:val="895"/>
        <w:numPr>
          <w:ilvl w:val="0"/>
          <w:numId w:val="4"/>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895"/>
        <w:keepLines w:val="0"/>
        <w:keepNext w:val="0"/>
        <w:pageBreakBefore w:val="0"/>
        <w:spacing w:line="520" w:lineRule="exact"/>
        <w:rPr>
          <w:rFonts w:ascii="仿宋" w:hAnsi="仿宋" w:eastAsia="仿宋"/>
          <w:sz w:val="28"/>
          <w:szCs w:val="28"/>
        </w:rPr>
        <w:outlineLvl w:val="9"/>
      </w:pPr>
      <w:r/>
      <w:bookmarkStart w:id="25" w:name="_Toc513029238"/>
      <w:r/>
      <w:bookmarkStart w:id="26" w:name="_Toc16938554"/>
      <w:r/>
      <w:bookmarkStart w:id="27" w:name="_Toc20823310"/>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与采购人或者其他供应商恶意串通的。</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采取不正当手段诋毁、排挤其他供应商的。</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89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．质疑处理</w:t>
      </w:r>
      <w:bookmarkEnd w:id="28"/>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上述应知其权益受到损害之日是指:</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（1）对招标文件提出质疑的，为采购文件公告期限届满之日起计算；</w:t>
      </w:r>
      <w:r>
        <w:rPr>
          <w:rFonts w:ascii="仿宋" w:hAnsi="仿宋" w:eastAsia="仿宋"/>
          <w:sz w:val="28"/>
          <w:szCs w:val="28"/>
        </w:rPr>
      </w:r>
      <w:r/>
    </w:p>
    <w:p>
      <w:pPr>
        <w:pStyle w:val="895"/>
        <w:ind w:firstLine="560"/>
        <w:jc w:val="both"/>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（2）对采购过程提出质疑的，为各采购程序环节结束之日起计算；</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（3）对中标结果提出质疑的，为中标结果公告期限届满之日起计算。</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质疑投标人在法定质疑期内应当一次性针对同一采购环节提出质疑</w:t>
      </w:r>
      <w:r>
        <w:rPr>
          <w:rFonts w:hint="eastAsia" w:ascii="仿宋" w:hAnsi="仿宋" w:eastAsia="仿宋"/>
          <w:sz w:val="28"/>
          <w:szCs w:val="28"/>
          <w:lang w:eastAsia="zh-CN"/>
        </w:rPr>
        <w:t xml:space="preserve">，</w:t>
      </w:r>
      <w:r>
        <w:rPr>
          <w:rFonts w:hint="eastAsia" w:ascii="仿宋" w:hAnsi="仿宋" w:eastAsia="仿宋"/>
          <w:sz w:val="28"/>
          <w:szCs w:val="28"/>
        </w:rPr>
        <w:t xml:space="preserve">若质疑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针对同一环节提出两次及两次以上质疑，仅受理第一次提出的质疑。</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质疑函应当包括以下主要内容，附上相关证明材料。否则，采购中心不予受理。</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（1）质疑投标人的名称、地址、邮编、联系人及联系电话；</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（2）质疑项目的名称、编号；</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（3）具体、明确的质疑事项和与质疑事实相关的请求；</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（4）事实依据；</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（5）必要的法律依据；</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（6）提起质疑的日期；</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收到质疑函后，将对质疑的形式和内容进行审查，如质疑函内容、格式不符合规定，采购中心将告知质疑人进行补正。质疑人应当在法定质疑期限内进行补正并重新提交质疑函，拒不补正或者超过法定期限后未重新提交质疑函的，为无效质疑，采购中心有权不予受理。</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对于内容、格式符合规定的质疑函，采购中心将在七个工作日内以电子文件的形式作出答复，但质疑答复的内容不涉及商业秘密。如果质疑投标人还需要纸质形式回复函的，需主动与采购中心联系索取，或者在质疑函中明确提出该要求。</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.8</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sz w:val="28"/>
          <w:szCs w:val="28"/>
        </w:rPr>
      </w:r>
      <w:r/>
    </w:p>
    <w:p>
      <w:pPr>
        <w:pStyle w:val="89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rPr>
          <w:rFonts w:ascii="仿宋" w:hAnsi="仿宋" w:eastAsia="仿宋"/>
          <w:sz w:val="28"/>
          <w:szCs w:val="28"/>
        </w:rPr>
      </w:r>
      <w:r/>
    </w:p>
    <w:p>
      <w:pPr>
        <w:pStyle w:val="895"/>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20823308"/>
      <w:r/>
      <w:bookmarkStart w:id="31" w:name="_Toc16938552"/>
      <w:r/>
      <w:bookmarkStart w:id="32" w:name="_Toc513029236"/>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895"/>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16938553"/>
      <w:r/>
      <w:bookmarkStart w:id="34" w:name="_Toc513029237"/>
      <w:r/>
      <w:bookmarkStart w:id="35" w:name="_Toc20823309"/>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89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916"/>
        <w:ind w:left="0" w:firstLine="0"/>
        <w:spacing w:line="520" w:lineRule="exact"/>
        <w:rPr>
          <w:rFonts w:hint="eastAsia" w:ascii="仿宋" w:hAnsi="仿宋" w:eastAsia="仿宋"/>
          <w:sz w:val="28"/>
          <w:szCs w:val="28"/>
          <w:highlight w:val="none"/>
          <w:lang w:eastAsia="zh-CN"/>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rPr>
          <w:rFonts w:hint="eastAsia" w:ascii="仿宋" w:hAnsi="仿宋" w:eastAsia="仿宋"/>
          <w:sz w:val="28"/>
          <w:szCs w:val="28"/>
          <w:highlight w:val="none"/>
          <w:lang w:eastAsia="zh-CN"/>
        </w:rPr>
      </w:r>
      <w:r/>
    </w:p>
    <w:p>
      <w:pPr>
        <w:pStyle w:val="916"/>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32.1乙方交纳人民币_________元作为本合同的履约保证金。（不得超过合同金额的10%）</w:t>
      </w:r>
      <w:r>
        <w:rPr>
          <w:rFonts w:hint="eastAsia" w:ascii="仿宋" w:hAnsi="仿宋" w:eastAsia="仿宋" w:cs="Times New Roman"/>
          <w:sz w:val="28"/>
          <w:szCs w:val="28"/>
          <w:lang w:val="en-US" w:eastAsia="zh-CN" w:bidi="ar-SA"/>
        </w:rPr>
      </w:r>
      <w:r/>
    </w:p>
    <w:p>
      <w:pPr>
        <w:pStyle w:val="895"/>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32.2乙方提供的履约保证金可以是人民币形式（银行本票、汇票、支票、电汇），或银行保函、担保公司的保证担保或保险公司的保证保险等多种形式。</w:t>
      </w:r>
      <w:r>
        <w:rPr>
          <w:rFonts w:hint="eastAsia" w:ascii="仿宋" w:hAnsi="仿宋" w:eastAsia="仿宋" w:cs="Times New Roman"/>
          <w:sz w:val="28"/>
          <w:szCs w:val="28"/>
          <w:lang w:val="en-US" w:eastAsia="zh-CN" w:bidi="ar-SA"/>
        </w:rPr>
      </w:r>
      <w:r/>
    </w:p>
    <w:p>
      <w:pPr>
        <w:pStyle w:val="895"/>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32.3乙方选取银行保函、担保公司的保证担保或保险公司的保证保险等形式的向采购人缴纳的，如保函（担保、保险等）的约定期到期但乙方履约仍未结束的，乙方须进行续保。</w:t>
      </w:r>
      <w:r>
        <w:rPr>
          <w:rFonts w:hint="eastAsia" w:ascii="仿宋" w:hAnsi="仿宋" w:eastAsia="仿宋" w:cs="Times New Roman"/>
          <w:sz w:val="28"/>
          <w:szCs w:val="28"/>
          <w:lang w:val="en-US" w:eastAsia="zh-CN" w:bidi="ar-SA"/>
        </w:rPr>
      </w:r>
      <w:r/>
    </w:p>
    <w:p>
      <w:pPr>
        <w:pStyle w:val="895"/>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s="Times New Roman"/>
          <w:sz w:val="28"/>
          <w:szCs w:val="28"/>
          <w:lang w:val="en-US" w:eastAsia="zh-CN" w:bidi="ar-SA"/>
        </w:rPr>
      </w:r>
      <w:r/>
    </w:p>
    <w:p>
      <w:pPr>
        <w:pStyle w:val="895"/>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32.5如乙方未能履行合同规定的义务，甲方有权从履约保证金中取得补偿。</w:t>
      </w:r>
      <w:r>
        <w:rPr>
          <w:rFonts w:hint="eastAsia" w:ascii="仿宋" w:hAnsi="仿宋" w:eastAsia="仿宋" w:cs="Times New Roman"/>
          <w:sz w:val="28"/>
          <w:szCs w:val="28"/>
          <w:lang w:val="en-US" w:eastAsia="zh-CN" w:bidi="ar-SA"/>
        </w:rPr>
      </w:r>
      <w:r/>
    </w:p>
    <w:p>
      <w:pPr>
        <w:pStyle w:val="895"/>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rPr>
          <w:rFonts w:hint="eastAsia" w:ascii="仿宋" w:hAnsi="仿宋" w:eastAsia="仿宋" w:cs="Times New Roman"/>
          <w:sz w:val="28"/>
          <w:szCs w:val="28"/>
          <w:lang w:val="en-US" w:eastAsia="zh-CN" w:bidi="ar-SA"/>
        </w:rPr>
      </w:r>
      <w:r/>
    </w:p>
    <w:p>
      <w:pPr>
        <w:pStyle w:val="895"/>
        <w:ind w:firstLine="560"/>
        <w:spacing w:line="520" w:lineRule="exact"/>
        <w:rPr>
          <w:rFonts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    32.7履约保证金在合同约定期间内不予退还或者应完全有效，履约保证金在项目验收合格后无息退还给乙方。</w:t>
      </w:r>
      <w:r>
        <w:rPr>
          <w:rFonts w:ascii="仿宋" w:hAnsi="仿宋" w:eastAsia="仿宋" w:cs="Times New Roman"/>
          <w:sz w:val="28"/>
          <w:szCs w:val="28"/>
          <w:lang w:val="en-US" w:eastAsia="zh-CN" w:bidi="ar-SA"/>
        </w:rPr>
      </w:r>
      <w:r/>
    </w:p>
    <w:p>
      <w:pPr>
        <w:pStyle w:val="895"/>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89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在货物采购项目中，供应商提供的货物既有中小企业制造货物，也有大型企业制造货物的，不享受本办法规定的中小企业扶持政策。</w:t>
      </w:r>
      <w:r>
        <w:rPr>
          <w:rFonts w:hint="eastAsia"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（2）企业标准请参照《政府采购促进中小企业发展管理办法》（财库【2020】46号）文件规定自行填写。</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（2）监狱企业标准请参照《关于政府采购支持监狱企业发展有关问题的通知》（财库[2014]68号）。</w:t>
      </w:r>
      <w:r>
        <w:rPr>
          <w:rFonts w:hint="eastAsia" w:ascii="仿宋" w:hAnsi="仿宋" w:eastAsia="仿宋"/>
          <w:sz w:val="28"/>
          <w:szCs w:val="28"/>
        </w:rPr>
      </w:r>
      <w:r/>
    </w:p>
    <w:p>
      <w:pPr>
        <w:pStyle w:val="89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节能产品（本项目不涉及）</w:t>
      </w:r>
      <w:r>
        <w:rPr>
          <w:rFonts w:hint="eastAsia" w:ascii="仿宋" w:hAnsi="仿宋" w:eastAsia="仿宋"/>
          <w:sz w:val="28"/>
          <w:szCs w:val="28"/>
          <w:highlight w:val="none"/>
        </w:rPr>
      </w:r>
      <w:r/>
    </w:p>
    <w:p>
      <w:pPr>
        <w:pStyle w:val="89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环保产品</w:t>
      </w:r>
      <w:r>
        <w:rPr>
          <w:rFonts w:hint="eastAsia"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本项目中</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u w:val="single"/>
          <w:lang w:eastAsia="zh-CN"/>
        </w:rPr>
        <w:t xml:space="preserve">救护车</w:t>
      </w:r>
      <w:r>
        <w:rPr>
          <w:rFonts w:hint="eastAsia" w:ascii="仿宋" w:hAnsi="仿宋" w:eastAsia="仿宋"/>
          <w:sz w:val="28"/>
          <w:szCs w:val="28"/>
          <w:highlight w:val="none"/>
          <w:u w:val="single"/>
        </w:rPr>
        <w:t xml:space="preserve">)</w:t>
      </w:r>
      <w:r>
        <w:rPr>
          <w:rFonts w:hint="eastAsia" w:ascii="仿宋" w:hAnsi="仿宋" w:eastAsia="仿宋"/>
          <w:sz w:val="28"/>
          <w:szCs w:val="28"/>
        </w:rPr>
        <w:t xml:space="preserve">被列入“环境标志产品品目清单”的，实行优先采购。</w:t>
      </w:r>
      <w:r>
        <w:rPr>
          <w:rFonts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895"/>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895"/>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895"/>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932"/>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000000"/>
          <w:sz w:val="28"/>
          <w:szCs w:val="28"/>
        </w:rPr>
        <w:t xml:space="preserve">,在供货、安装过程中能到做到低碳物流、环保节约、提高资源利用率；涉及设备运维参考《绿色数据中心政府采购需求标准（试行）》（财库【2023】7号文）执行。</w:t>
      </w:r>
      <w:r>
        <w:rPr>
          <w:rFonts w:hint="eastAsia" w:ascii="仿宋" w:hAnsi="仿宋" w:eastAsia="仿宋"/>
          <w:color w:val="000000"/>
          <w:sz w:val="28"/>
          <w:szCs w:val="28"/>
        </w:rPr>
      </w:r>
      <w:r/>
    </w:p>
    <w:p>
      <w:pPr>
        <w:pStyle w:val="932"/>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895"/>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932"/>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932"/>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895"/>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评标标准</w:t>
      </w:r>
      <w:r>
        <w:rPr>
          <w:rFonts w:hint="eastAsia" w:ascii="仿宋" w:hAnsi="仿宋" w:eastAsia="仿宋"/>
          <w:b/>
          <w:sz w:val="36"/>
          <w:szCs w:val="36"/>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rPr>
          <w:rFonts w:hint="eastAsia" w:ascii="仿宋" w:hAnsi="仿宋" w:eastAsia="仿宋"/>
          <w:sz w:val="28"/>
          <w:szCs w:val="28"/>
        </w:rPr>
      </w:r>
      <w:r/>
    </w:p>
    <w:p>
      <w:pPr>
        <w:pStyle w:val="89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rPr>
          <w:rFonts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rPr>
      </w:r>
      <w:r/>
    </w:p>
    <w:p>
      <w:pPr>
        <w:pStyle w:val="895"/>
        <w:ind w:firstLine="4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1、价格:</w:t>
      </w:r>
      <w:r>
        <w:rPr>
          <w:rFonts w:hint="eastAsia" w:ascii="仿宋" w:hAnsi="仿宋" w:eastAsia="仿宋"/>
          <w:sz w:val="28"/>
          <w:lang w:val="en-US" w:eastAsia="zh-CN"/>
        </w:rPr>
        <w:t xml:space="preserve">30</w:t>
      </w:r>
      <w:r>
        <w:rPr>
          <w:rFonts w:hint="eastAsia" w:ascii="仿宋" w:hAnsi="仿宋" w:eastAsia="仿宋"/>
          <w:sz w:val="28"/>
        </w:rPr>
        <w:t xml:space="preserve">分</w:t>
      </w:r>
      <w:r>
        <w:rPr>
          <w:rFonts w:hint="eastAsia" w:ascii="仿宋" w:hAnsi="仿宋" w:eastAsia="仿宋"/>
          <w:sz w:val="28"/>
        </w:rPr>
      </w:r>
      <w:r/>
    </w:p>
    <w:p>
      <w:pPr>
        <w:pStyle w:val="928"/>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928"/>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30</w:t>
      </w:r>
      <w:r>
        <w:rPr>
          <w:rFonts w:hint="eastAsia" w:ascii="仿宋" w:hAnsi="仿宋" w:eastAsia="仿宋"/>
        </w:rPr>
        <w:t xml:space="preserve">分</w:t>
      </w:r>
      <w:r>
        <w:rPr>
          <w:rFonts w:hint="eastAsia" w:ascii="仿宋" w:hAnsi="仿宋" w:eastAsia="仿宋"/>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2、政策导向:</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分</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投标产品</w:t>
      </w:r>
      <w:r>
        <w:rPr>
          <w:rFonts w:hint="eastAsia" w:ascii="仿宋" w:hAnsi="仿宋" w:eastAsia="仿宋"/>
          <w:sz w:val="28"/>
          <w:szCs w:val="28"/>
          <w:lang w:eastAsia="zh-CN"/>
        </w:rPr>
        <w:t xml:space="preserve">（救护车）</w:t>
      </w:r>
      <w:r>
        <w:rPr>
          <w:rFonts w:hint="eastAsia" w:ascii="仿宋" w:hAnsi="仿宋" w:eastAsia="仿宋"/>
          <w:sz w:val="28"/>
          <w:szCs w:val="28"/>
        </w:rPr>
        <w:t xml:space="preserve">在财政部、生态环境部公布的</w:t>
      </w:r>
      <w:r>
        <w:rPr>
          <w:rFonts w:ascii="仿宋" w:hAnsi="仿宋" w:eastAsia="仿宋"/>
          <w:sz w:val="28"/>
          <w:szCs w:val="28"/>
        </w:rPr>
        <w:t xml:space="preserve">“</w:t>
      </w:r>
      <w:r>
        <w:rPr>
          <w:rFonts w:hint="eastAsia" w:ascii="仿宋" w:hAnsi="仿宋" w:eastAsia="仿宋"/>
          <w:sz w:val="28"/>
          <w:szCs w:val="28"/>
        </w:rPr>
        <w:t xml:space="preserve">环境标志产品政府采购品目清单</w:t>
      </w:r>
      <w:r>
        <w:rPr>
          <w:rFonts w:ascii="仿宋" w:hAnsi="仿宋" w:eastAsia="仿宋"/>
          <w:sz w:val="28"/>
          <w:szCs w:val="28"/>
        </w:rPr>
        <w:t xml:space="preserve">”</w:t>
      </w:r>
      <w:r>
        <w:rPr>
          <w:rFonts w:hint="eastAsia" w:ascii="仿宋" w:hAnsi="仿宋" w:eastAsia="仿宋"/>
          <w:sz w:val="28"/>
          <w:szCs w:val="28"/>
        </w:rPr>
        <w:t xml:space="preserve">内，且提供国家市场监督管理总局局确定的列入</w:t>
      </w:r>
      <w:r>
        <w:rPr>
          <w:rFonts w:ascii="仿宋" w:hAnsi="仿宋" w:eastAsia="仿宋"/>
          <w:sz w:val="28"/>
          <w:szCs w:val="28"/>
        </w:rPr>
        <w:t xml:space="preserve">“</w:t>
      </w:r>
      <w:r>
        <w:rPr>
          <w:rFonts w:hint="eastAsia" w:ascii="仿宋" w:hAnsi="仿宋" w:eastAsia="仿宋"/>
          <w:sz w:val="28"/>
          <w:szCs w:val="28"/>
        </w:rPr>
        <w:t xml:space="preserve">参与实施政府采购环境标志产品认证机构名录</w:t>
      </w:r>
      <w:r>
        <w:rPr>
          <w:rFonts w:ascii="仿宋" w:hAnsi="仿宋" w:eastAsia="仿宋"/>
          <w:sz w:val="28"/>
          <w:szCs w:val="28"/>
        </w:rPr>
        <w:t xml:space="preserve">”</w:t>
      </w:r>
      <w:r>
        <w:rPr>
          <w:rFonts w:hint="eastAsia" w:ascii="仿宋" w:hAnsi="仿宋" w:eastAsia="仿宋"/>
          <w:sz w:val="28"/>
          <w:szCs w:val="28"/>
        </w:rPr>
        <w:t xml:space="preserve">内的认证机构出具的、有效期内的该产品环境标志产品认证证书电子件的得</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分，没有不得分。</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3、技术部分:</w:t>
      </w:r>
      <w:r>
        <w:rPr>
          <w:rFonts w:hint="eastAsia" w:ascii="仿宋" w:hAnsi="仿宋" w:eastAsia="仿宋"/>
          <w:sz w:val="28"/>
          <w:szCs w:val="28"/>
          <w:highlight w:val="none"/>
          <w:lang w:val="en-US" w:eastAsia="zh-CN"/>
        </w:rPr>
        <w:t xml:space="preserve">34</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5"/>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（1）投标人所投产品技术参数完全满足招标文件第五章第一项 “采购清单及技术参数要求”中标注“★”技术参数要求的得34分，未完全满足作无效投标处理。</w:t>
      </w:r>
      <w:r>
        <w:rPr>
          <w:rFonts w:hint="eastAsia" w:ascii="仿宋" w:hAnsi="仿宋" w:eastAsia="仿宋"/>
          <w:sz w:val="28"/>
          <w:highlight w:val="none"/>
        </w:rPr>
      </w:r>
      <w:r/>
    </w:p>
    <w:p>
      <w:pPr>
        <w:pStyle w:val="895"/>
        <w:ind w:firstLine="560"/>
        <w:spacing w:line="520" w:lineRule="exact"/>
        <w:rPr>
          <w:rFonts w:hint="eastAsia" w:ascii="仿宋" w:hAnsi="仿宋" w:eastAsia="仿宋"/>
          <w:sz w:val="28"/>
          <w:szCs w:val="28"/>
        </w:rPr>
      </w:pPr>
      <w:r>
        <w:rPr>
          <w:rFonts w:hint="eastAsia" w:ascii="仿宋" w:hAnsi="仿宋" w:eastAsia="仿宋"/>
          <w:sz w:val="28"/>
          <w:highlight w:val="none"/>
        </w:rPr>
        <w:t xml:space="preserve">（2）投标人所投产品技术参数与招标文件第五章第一项“采购清单及技术参数要求”中未标注“★”</w:t>
      </w:r>
      <w:r>
        <w:rPr>
          <w:rFonts w:hint="eastAsia" w:ascii="仿宋" w:hAnsi="仿宋" w:eastAsia="仿宋"/>
          <w:sz w:val="28"/>
          <w:highlight w:val="none"/>
          <w:lang w:eastAsia="zh-CN"/>
        </w:rPr>
        <w:t xml:space="preserve">的</w:t>
      </w:r>
      <w:r>
        <w:rPr>
          <w:rFonts w:hint="eastAsia" w:ascii="仿宋" w:hAnsi="仿宋" w:eastAsia="仿宋"/>
          <w:sz w:val="28"/>
          <w:highlight w:val="none"/>
        </w:rPr>
        <w:t xml:space="preserve">技术参数要求相比较，以34分为基数，每有一项负偏离扣2分，扣完为止。</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4、方案部分:</w:t>
      </w:r>
      <w:r>
        <w:rPr>
          <w:rFonts w:hint="eastAsia" w:ascii="仿宋" w:hAnsi="仿宋" w:eastAsia="仿宋"/>
          <w:sz w:val="28"/>
          <w:szCs w:val="28"/>
          <w:lang w:val="en-US" w:eastAsia="zh-CN"/>
        </w:rPr>
        <w:t xml:space="preserve">15</w:t>
      </w:r>
      <w:r>
        <w:rPr>
          <w:rFonts w:hint="eastAsia" w:ascii="仿宋" w:hAnsi="仿宋" w:eastAsia="仿宋"/>
          <w:sz w:val="28"/>
          <w:szCs w:val="28"/>
        </w:rPr>
        <w:t xml:space="preserve">分</w:t>
      </w:r>
      <w:r>
        <w:rPr>
          <w:rFonts w:hint="eastAsia" w:ascii="仿宋" w:hAnsi="仿宋" w:eastAsia="仿宋"/>
          <w:sz w:val="28"/>
          <w:szCs w:val="28"/>
        </w:rPr>
      </w:r>
      <w:r/>
    </w:p>
    <w:p>
      <w:pPr>
        <w:pStyle w:val="89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   评委会根据投标人提供的方案进行评分，不提供分项方案或者经三分之二评委认定分项方案存在重大偏离的，分项方案不得分。</w:t>
      </w:r>
      <w:r>
        <w:rPr>
          <w:rFonts w:hint="eastAsia" w:ascii="仿宋" w:hAnsi="仿宋" w:eastAsia="仿宋"/>
          <w:sz w:val="28"/>
          <w:szCs w:val="28"/>
        </w:rPr>
      </w:r>
      <w:r/>
    </w:p>
    <w:p>
      <w:pPr>
        <w:pStyle w:val="895"/>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（1）项目实施方案</w:t>
      </w:r>
      <w:r>
        <w:rPr>
          <w:rFonts w:hint="eastAsia" w:ascii="仿宋" w:hAnsi="仿宋" w:eastAsia="仿宋"/>
          <w:sz w:val="28"/>
          <w:szCs w:val="28"/>
        </w:rPr>
      </w:r>
      <w:r/>
    </w:p>
    <w:p>
      <w:pPr>
        <w:pStyle w:val="895"/>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提供车辆改造方案，需至少包含车辆的改造计划，改造流程，改造工艺，优于项目需求的得5分，完全满足的得4分，基本满足的得2分。没有不得分。</w:t>
      </w:r>
      <w:r>
        <w:rPr>
          <w:rFonts w:hint="eastAsia" w:ascii="仿宋" w:hAnsi="仿宋" w:eastAsia="仿宋"/>
          <w:sz w:val="28"/>
          <w:szCs w:val="28"/>
        </w:rPr>
      </w:r>
      <w:r/>
    </w:p>
    <w:p>
      <w:pPr>
        <w:pStyle w:val="895"/>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（2）安装调试方案</w:t>
      </w:r>
      <w:r>
        <w:rPr>
          <w:rFonts w:hint="eastAsia" w:ascii="仿宋" w:hAnsi="仿宋" w:eastAsia="仿宋"/>
          <w:sz w:val="28"/>
          <w:szCs w:val="28"/>
        </w:rPr>
      </w:r>
      <w:r/>
    </w:p>
    <w:p>
      <w:pPr>
        <w:pStyle w:val="895"/>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需至少包含人员的安排、时间进度的规划，对车辆和设备设施的安装调试进度安排，调试的步骤、措施，问题的解决方案等，优于项目需求的得5分，完全满足的得4分，基本满足的得2分。没有不得分。</w:t>
      </w:r>
      <w:r>
        <w:rPr>
          <w:rFonts w:hint="eastAsia" w:ascii="仿宋" w:hAnsi="仿宋" w:eastAsia="仿宋"/>
          <w:sz w:val="28"/>
          <w:szCs w:val="28"/>
        </w:rPr>
      </w:r>
      <w:r/>
    </w:p>
    <w:p>
      <w:pPr>
        <w:pStyle w:val="895"/>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（3）服务管理方案</w:t>
      </w:r>
      <w:r>
        <w:rPr>
          <w:rFonts w:hint="eastAsia" w:ascii="仿宋" w:hAnsi="仿宋" w:eastAsia="仿宋"/>
          <w:sz w:val="28"/>
          <w:szCs w:val="28"/>
        </w:rPr>
      </w:r>
      <w:r/>
    </w:p>
    <w:p>
      <w:pPr>
        <w:pStyle w:val="895"/>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需至少包含服务机制、响应时间、故障解决等内容，响应时间在2小时内，一般故障12小时以内解决。方案内容需详实完整、表述准确，优于项目需求的得5分，完全满足的得4分，基本满足的得2分。没有不得分。</w:t>
      </w:r>
      <w:r>
        <w:rPr>
          <w:rFonts w:hint="eastAsia" w:ascii="仿宋" w:hAnsi="仿宋" w:eastAsia="仿宋"/>
          <w:sz w:val="28"/>
          <w:szCs w:val="28"/>
        </w:rPr>
      </w:r>
      <w:r/>
    </w:p>
    <w:p>
      <w:pPr>
        <w:pStyle w:val="895"/>
        <w:ind w:firstLine="56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b/>
          <w:bCs/>
          <w:sz w:val="28"/>
          <w:szCs w:val="28"/>
        </w:rPr>
        <w:t xml:space="preserve">注：本项目的方案部分采用暗标方式进行评审，供应商需按照第二章“投标人须知”第</w:t>
      </w:r>
      <w:r>
        <w:rPr>
          <w:rFonts w:hint="eastAsia" w:ascii="仿宋" w:hAnsi="仿宋" w:eastAsia="仿宋"/>
          <w:b/>
          <w:bCs/>
          <w:sz w:val="28"/>
          <w:szCs w:val="28"/>
          <w:highlight w:val="none"/>
        </w:rPr>
        <w:t xml:space="preserve">1</w:t>
      </w:r>
      <w:r>
        <w:rPr>
          <w:rFonts w:hint="eastAsia" w:ascii="仿宋" w:hAnsi="仿宋" w:eastAsia="仿宋"/>
          <w:b/>
          <w:bCs/>
          <w:sz w:val="28"/>
          <w:szCs w:val="28"/>
          <w:highlight w:val="none"/>
          <w:lang w:val="en-US" w:eastAsia="zh-CN"/>
        </w:rPr>
        <w:t xml:space="preserve">7</w:t>
      </w:r>
      <w:r>
        <w:rPr>
          <w:rFonts w:hint="eastAsia" w:ascii="仿宋" w:hAnsi="仿宋" w:eastAsia="仿宋"/>
          <w:b/>
          <w:bCs/>
          <w:sz w:val="28"/>
          <w:szCs w:val="28"/>
        </w:rPr>
        <w:t xml:space="preserve">条的要求编制方案，未按要求编制的本项不得分。</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、商务部分:</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分</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（1）投标人或车型生产单位具有有效期内ISO9001质量管理体系认证、ISO14001环境管理体系认证、ISO45001职业健康安全认证证书的，每提供一个得1分，本项最多得3分，未提供不得分。</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（2）投标人自2021年1月1日以来（时间以合同为准）承接过类似项目成功案例的，每提供一个得1分，本项最多得5分，未提供不得分。</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、售后服务:</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分</w:t>
      </w:r>
      <w:r>
        <w:rPr>
          <w:rFonts w:hint="eastAsia" w:ascii="仿宋" w:hAnsi="仿宋" w:eastAsia="仿宋"/>
          <w:sz w:val="28"/>
          <w:szCs w:val="28"/>
        </w:rPr>
      </w:r>
      <w:r/>
    </w:p>
    <w:p>
      <w:pPr>
        <w:pStyle w:val="895"/>
        <w:ind w:firstLine="560"/>
        <w:spacing w:line="520" w:lineRule="exact"/>
        <w:rPr>
          <w:rFonts w:hint="eastAsia" w:ascii="仿宋" w:hAnsi="仿宋" w:eastAsia="仿宋"/>
          <w:sz w:val="28"/>
        </w:rPr>
      </w:pPr>
      <w:r>
        <w:rPr>
          <w:rFonts w:hint="eastAsia" w:ascii="仿宋" w:hAnsi="仿宋" w:eastAsia="仿宋"/>
          <w:sz w:val="28"/>
        </w:rPr>
        <w:t xml:space="preserve">（1）投标人承诺所投产品</w:t>
      </w:r>
      <w:r>
        <w:rPr>
          <w:rFonts w:hint="eastAsia" w:ascii="仿宋" w:hAnsi="仿宋" w:eastAsia="仿宋"/>
          <w:sz w:val="28"/>
          <w:highlight w:val="none"/>
        </w:rPr>
        <w:t xml:space="preserve">（包括主机和配件）</w:t>
      </w:r>
      <w:r>
        <w:rPr>
          <w:rFonts w:hint="eastAsia" w:ascii="仿宋" w:hAnsi="仿宋" w:eastAsia="仿宋"/>
          <w:sz w:val="28"/>
        </w:rPr>
        <w:t xml:space="preserve">的备品备件在该设备停产后保证供应期不少于5年的得3分，承诺函格式自拟加盖投标人电子签章，未提供不得分。</w:t>
      </w:r>
      <w:r>
        <w:rPr>
          <w:rFonts w:hint="eastAsia" w:ascii="仿宋" w:hAnsi="仿宋" w:eastAsia="仿宋"/>
          <w:sz w:val="28"/>
        </w:rPr>
      </w:r>
      <w:r/>
    </w:p>
    <w:p>
      <w:pPr>
        <w:pStyle w:val="895"/>
        <w:ind w:firstLine="560"/>
        <w:spacing w:line="520" w:lineRule="exact"/>
        <w:rPr>
          <w:rFonts w:hint="eastAsia" w:ascii="仿宋" w:hAnsi="仿宋" w:eastAsia="仿宋"/>
          <w:sz w:val="28"/>
        </w:rPr>
      </w:pPr>
      <w:r>
        <w:rPr>
          <w:rFonts w:hint="eastAsia" w:ascii="仿宋" w:hAnsi="仿宋" w:eastAsia="仿宋"/>
          <w:sz w:val="28"/>
        </w:rPr>
        <w:t xml:space="preserve">（2）投标人在满足招标文件要求的质保2年（或5万公里）的基础上，每承诺增加1年或增加1万公里的得1分，本项最多得3分，承诺函格式自拟加盖投标人电子签章，未提供不得分。</w:t>
      </w:r>
      <w:r>
        <w:rPr>
          <w:rFonts w:hint="eastAsia" w:ascii="仿宋" w:hAnsi="仿宋" w:eastAsia="仿宋"/>
          <w:sz w:val="28"/>
        </w:rPr>
      </w:r>
      <w:r/>
    </w:p>
    <w:p>
      <w:pPr>
        <w:pStyle w:val="895"/>
        <w:ind w:firstLine="560"/>
        <w:jc w:val="both"/>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rPr>
        <w:t xml:space="preserve">（3）投标人提供救护车培训方案，包括培训内容、时间、地点、人次、安装维护、调试、配置及使用技能、业务人员培训（车辆使用培训，医疗设备使用培训，车辆维护保养培训）、应用操作及使用。培训方案详细具体，可行性高的得5分；培训方案较为详细具体，可行性较高的得4分；基本满足的得2分。没有不得分。</w:t>
      </w:r>
      <w:r>
        <w:rPr>
          <w:rFonts w:hint="eastAsia" w:ascii="仿宋" w:hAnsi="仿宋" w:eastAsia="仿宋"/>
          <w:sz w:val="28"/>
          <w:szCs w:val="28"/>
        </w:rPr>
        <w:t xml:space="preserve">   </w:t>
      </w:r>
      <w:r>
        <w:rPr>
          <w:rFonts w:hint="eastAsia" w:ascii="仿宋" w:hAnsi="仿宋" w:eastAsia="仿宋"/>
          <w:sz w:val="28"/>
          <w:szCs w:val="28"/>
        </w:rPr>
      </w:r>
      <w:r/>
    </w:p>
    <w:p>
      <w:pPr>
        <w:pStyle w:val="895"/>
        <w:jc w:val="center"/>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pStyle w:val="895"/>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895"/>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916"/>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16"/>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rPr>
          <w:rFonts w:hint="eastAsia" w:ascii="仿宋" w:hAnsi="仿宋" w:eastAsia="仿宋"/>
          <w:sz w:val="28"/>
          <w:szCs w:val="28"/>
        </w:rPr>
      </w:r>
      <w:r/>
    </w:p>
    <w:p>
      <w:pPr>
        <w:pStyle w:val="895"/>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91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916"/>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rPr>
          <w:rFonts w:hint="eastAsia" w:ascii="仿宋" w:hAnsi="仿宋" w:eastAsia="仿宋"/>
          <w:sz w:val="28"/>
          <w:szCs w:val="28"/>
        </w:rPr>
      </w:r>
      <w:r/>
    </w:p>
    <w:p>
      <w:pPr>
        <w:pStyle w:val="916"/>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916"/>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916"/>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rPr>
          <w:rFonts w:hint="eastAsia" w:ascii="仿宋" w:hAnsi="仿宋" w:eastAsia="仿宋"/>
          <w:sz w:val="28"/>
        </w:rPr>
      </w:r>
      <w:r/>
    </w:p>
    <w:p>
      <w:pPr>
        <w:pStyle w:val="916"/>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rPr>
          <w:rFonts w:hint="eastAsia" w:ascii="仿宋" w:hAnsi="仿宋" w:eastAsia="仿宋"/>
          <w:sz w:val="28"/>
          <w:szCs w:val="24"/>
        </w:rPr>
      </w:r>
      <w:r/>
    </w:p>
    <w:p>
      <w:pPr>
        <w:pStyle w:val="916"/>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91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rPr>
          <w:rFonts w:hint="eastAsia" w:ascii="仿宋" w:hAnsi="仿宋" w:eastAsia="仿宋"/>
          <w:sz w:val="28"/>
          <w:szCs w:val="28"/>
        </w:rPr>
      </w:r>
      <w:r/>
    </w:p>
    <w:p>
      <w:pPr>
        <w:pStyle w:val="916"/>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rPr>
          <w:rFonts w:hint="eastAsia" w:ascii="仿宋" w:hAnsi="仿宋" w:eastAsia="仿宋"/>
          <w:sz w:val="28"/>
        </w:rPr>
      </w:r>
      <w:r/>
    </w:p>
    <w:p>
      <w:pPr>
        <w:pStyle w:val="916"/>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rPr>
          <w:rFonts w:hint="eastAsia" w:ascii="仿宋" w:hAnsi="仿宋" w:eastAsia="仿宋"/>
          <w:sz w:val="28"/>
          <w:szCs w:val="24"/>
        </w:rPr>
      </w:r>
      <w:r/>
    </w:p>
    <w:p>
      <w:pPr>
        <w:pStyle w:val="91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五、验收</w:t>
      </w:r>
      <w:r>
        <w:rPr>
          <w:rFonts w:hint="eastAsia" w:ascii="仿宋" w:hAnsi="仿宋" w:eastAsia="仿宋"/>
          <w:sz w:val="28"/>
          <w:szCs w:val="28"/>
        </w:rPr>
      </w:r>
      <w:r/>
    </w:p>
    <w:p>
      <w:pPr>
        <w:pStyle w:val="91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甲方按招标文件相关要求进行。如需委托第三方验收，第三方是指: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，验收费用由甲方承担。因乙方交付的货物不符合标准导致甲方重复支出的验收费用，由乙方承担。</w:t>
      </w:r>
      <w:r>
        <w:rPr>
          <w:rFonts w:ascii="仿宋" w:hAnsi="仿宋" w:eastAsia="仿宋"/>
          <w:sz w:val="28"/>
          <w:szCs w:val="28"/>
        </w:rPr>
        <w:t xml:space="preserve"> </w:t>
      </w:r>
      <w:r>
        <w:rPr>
          <w:rFonts w:hint="eastAsia" w:ascii="仿宋" w:hAnsi="仿宋" w:eastAsia="仿宋"/>
          <w:sz w:val="28"/>
          <w:szCs w:val="28"/>
        </w:rPr>
      </w:r>
      <w:r/>
    </w:p>
    <w:p>
      <w:pPr>
        <w:pStyle w:val="91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六、履约保证金</w:t>
      </w:r>
      <w:r>
        <w:rPr>
          <w:rFonts w:hint="eastAsia" w:ascii="仿宋" w:hAnsi="仿宋" w:eastAsia="仿宋"/>
          <w:sz w:val="28"/>
          <w:szCs w:val="28"/>
        </w:rPr>
      </w:r>
      <w:r/>
    </w:p>
    <w:p>
      <w:pPr>
        <w:pStyle w:val="91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ascii="仿宋" w:hAnsi="仿宋" w:eastAsia="仿宋"/>
          <w:sz w:val="28"/>
          <w:szCs w:val="28"/>
        </w:rPr>
        <w:t xml:space="preserve">乙方交纳人民币_________元作为本合同的履约保证金。</w:t>
      </w:r>
      <w:r>
        <w:rPr>
          <w:rFonts w:hint="eastAsia" w:ascii="仿宋" w:hAnsi="仿宋" w:eastAsia="仿宋"/>
          <w:sz w:val="28"/>
          <w:szCs w:val="28"/>
        </w:rPr>
        <w:t xml:space="preserve">（不得超过合同金额的10%）</w:t>
      </w:r>
      <w:r>
        <w:rPr>
          <w:rFonts w:hint="eastAsia" w:ascii="仿宋" w:hAnsi="仿宋" w:eastAsia="仿宋"/>
          <w:sz w:val="28"/>
          <w:szCs w:val="28"/>
        </w:rPr>
      </w:r>
      <w:r/>
    </w:p>
    <w:p>
      <w:pPr>
        <w:pStyle w:val="895"/>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895"/>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895"/>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、如乙方未能履行合同规定的义务，甲方有权从履约保证金中取得补偿。</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个工作日内，甲方应将履约保证金退还乙方；逾期退还的，按中国人民银行同期贷款基利率上浮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、履约保证金在合同约定期间内不予退还或者应完全有效，履约保证金在项目验收合格后无息退还给乙方。</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895"/>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rPr>
          <w:rFonts w:hint="eastAsia" w:ascii="仿宋" w:hAnsi="仿宋" w:eastAsia="仿宋"/>
          <w:sz w:val="28"/>
          <w:szCs w:val="28"/>
        </w:rPr>
      </w:r>
      <w:r/>
    </w:p>
    <w:p>
      <w:pPr>
        <w:pStyle w:val="895"/>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895"/>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rPr>
          <w:rFonts w:hint="eastAsia" w:ascii="仿宋" w:hAnsi="仿宋" w:eastAsia="仿宋"/>
          <w:sz w:val="28"/>
          <w:szCs w:val="28"/>
        </w:rPr>
      </w:r>
      <w:r/>
    </w:p>
    <w:p>
      <w:pPr>
        <w:pStyle w:val="91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16"/>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916"/>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916"/>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916"/>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签定日期:                          签定日期:</w:t>
      </w:r>
      <w:r>
        <w:rPr>
          <w:rFonts w:hint="eastAsia" w:ascii="仿宋" w:hAnsi="仿宋" w:eastAsia="仿宋"/>
          <w:sz w:val="28"/>
          <w:szCs w:val="24"/>
        </w:rPr>
      </w:r>
      <w:r/>
    </w:p>
    <w:p>
      <w:pPr>
        <w:pStyle w:val="895"/>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95"/>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95"/>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95"/>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95"/>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95"/>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95"/>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95"/>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95"/>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95"/>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95"/>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95"/>
        <w:ind w:firstLine="2492"/>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95"/>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t xml:space="preserve">二、合同条款</w:t>
      </w:r>
      <w:r>
        <w:rPr>
          <w:rFonts w:hint="eastAsia" w:ascii="仿宋" w:hAnsi="仿宋" w:eastAsia="仿宋"/>
          <w:sz w:val="28"/>
          <w:szCs w:val="28"/>
        </w:rPr>
      </w:r>
      <w:r/>
    </w:p>
    <w:p>
      <w:pPr>
        <w:pStyle w:val="8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rPr>
          <w:rFonts w:hint="eastAsia" w:ascii="仿宋" w:hAnsi="仿宋" w:eastAsia="仿宋"/>
          <w:sz w:val="28"/>
        </w:rPr>
      </w:r>
      <w:r/>
    </w:p>
    <w:p>
      <w:pPr>
        <w:pStyle w:val="89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895"/>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895"/>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895"/>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895"/>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895"/>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895"/>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rPr>
          <w:rFonts w:hint="eastAsia" w:ascii="仿宋" w:hAnsi="仿宋" w:eastAsia="仿宋"/>
          <w:sz w:val="28"/>
        </w:rPr>
      </w:r>
      <w:r/>
    </w:p>
    <w:p>
      <w:pPr>
        <w:pStyle w:val="895"/>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rPr>
          <w:rFonts w:hint="eastAsia" w:ascii="仿宋" w:hAnsi="仿宋" w:eastAsia="仿宋"/>
          <w:bCs/>
          <w:sz w:val="28"/>
        </w:rPr>
      </w:r>
      <w:r/>
    </w:p>
    <w:p>
      <w:pPr>
        <w:pStyle w:val="895"/>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8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rPr>
          <w:rFonts w:hint="eastAsia" w:ascii="仿宋" w:hAnsi="仿宋" w:eastAsia="仿宋"/>
          <w:sz w:val="28"/>
        </w:rPr>
      </w:r>
      <w:r/>
    </w:p>
    <w:p>
      <w:pPr>
        <w:pStyle w:val="89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8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rPr>
          <w:rFonts w:hint="eastAsia" w:ascii="仿宋" w:hAnsi="仿宋" w:eastAsia="仿宋"/>
          <w:sz w:val="28"/>
        </w:rPr>
      </w:r>
      <w:r/>
    </w:p>
    <w:p>
      <w:pPr>
        <w:pStyle w:val="895"/>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,在供货、安装过程中能到做到低碳物流、环保节约、提高资源利用率；涉及设备运维参考《绿色数据中心政府采购需求标准（试行）》（财库【2023】7号文）执行。</w:t>
      </w:r>
      <w:r>
        <w:rPr>
          <w:rFonts w:hint="eastAsia" w:ascii="仿宋" w:hAnsi="仿宋" w:eastAsia="仿宋"/>
          <w:sz w:val="28"/>
        </w:rPr>
      </w:r>
      <w:r/>
    </w:p>
    <w:p>
      <w:pPr>
        <w:pStyle w:val="89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安全无损运抵制现场。由于包装不善所引起的货物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89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rPr>
          <w:rFonts w:hint="eastAsia" w:ascii="仿宋" w:hAnsi="仿宋" w:eastAsia="仿宋"/>
          <w:sz w:val="28"/>
        </w:rPr>
      </w:r>
      <w:r/>
    </w:p>
    <w:p>
      <w:pPr>
        <w:pStyle w:val="8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rPr>
          <w:rFonts w:hint="eastAsia" w:ascii="仿宋" w:hAnsi="仿宋" w:eastAsia="仿宋"/>
          <w:sz w:val="28"/>
        </w:rPr>
      </w:r>
      <w:r/>
    </w:p>
    <w:p>
      <w:pPr>
        <w:pStyle w:val="895"/>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895"/>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895"/>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895"/>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895"/>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895"/>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895"/>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895"/>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895"/>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895"/>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895"/>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8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rPr>
          <w:rFonts w:hint="eastAsia" w:ascii="仿宋" w:hAnsi="仿宋" w:eastAsia="仿宋"/>
          <w:sz w:val="28"/>
        </w:rPr>
      </w:r>
      <w:r/>
    </w:p>
    <w:p>
      <w:pPr>
        <w:pStyle w:val="89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rPr>
          <w:rFonts w:hint="eastAsia" w:ascii="仿宋" w:hAnsi="仿宋" w:eastAsia="仿宋"/>
          <w:sz w:val="28"/>
        </w:rPr>
      </w:r>
      <w:r/>
    </w:p>
    <w:p>
      <w:pPr>
        <w:pStyle w:val="89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89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rPr>
          <w:rFonts w:hint="eastAsia" w:ascii="仿宋" w:hAnsi="仿宋" w:eastAsia="仿宋"/>
          <w:sz w:val="28"/>
        </w:rPr>
      </w:r>
      <w:r/>
    </w:p>
    <w:p>
      <w:pPr>
        <w:pStyle w:val="89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rPr>
          <w:rFonts w:hint="eastAsia" w:ascii="仿宋" w:hAnsi="仿宋" w:eastAsia="仿宋"/>
          <w:sz w:val="28"/>
        </w:rPr>
      </w:r>
      <w:r/>
    </w:p>
    <w:p>
      <w:pPr>
        <w:pStyle w:val="89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rPr>
          <w:rFonts w:hint="eastAsia" w:ascii="仿宋" w:hAnsi="仿宋" w:eastAsia="仿宋"/>
          <w:sz w:val="28"/>
        </w:rPr>
      </w:r>
      <w:r/>
    </w:p>
    <w:p>
      <w:pPr>
        <w:pStyle w:val="89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rPr>
          <w:rFonts w:hint="eastAsia" w:ascii="仿宋" w:hAnsi="仿宋" w:eastAsia="仿宋"/>
          <w:sz w:val="28"/>
        </w:rPr>
      </w:r>
      <w:r/>
    </w:p>
    <w:p>
      <w:pPr>
        <w:pStyle w:val="89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89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rPr>
          <w:rFonts w:hint="eastAsia" w:ascii="仿宋" w:hAnsi="仿宋" w:eastAsia="仿宋"/>
          <w:sz w:val="28"/>
        </w:rPr>
      </w:r>
      <w:r/>
    </w:p>
    <w:p>
      <w:pPr>
        <w:pStyle w:val="8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rPr>
          <w:rFonts w:hint="eastAsia" w:ascii="仿宋" w:hAnsi="仿宋" w:eastAsia="仿宋"/>
          <w:sz w:val="28"/>
        </w:rPr>
      </w:r>
      <w:r/>
    </w:p>
    <w:p>
      <w:pPr>
        <w:pStyle w:val="89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89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895"/>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rPr>
          <w:rFonts w:hint="eastAsia" w:ascii="仿宋" w:hAnsi="仿宋" w:eastAsia="仿宋"/>
          <w:sz w:val="28"/>
        </w:rPr>
      </w:r>
      <w:r/>
    </w:p>
    <w:p>
      <w:pPr>
        <w:pStyle w:val="895"/>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rPr>
          <w:rFonts w:hint="eastAsia" w:ascii="仿宋" w:hAnsi="仿宋" w:eastAsia="仿宋"/>
          <w:sz w:val="28"/>
        </w:rPr>
      </w:r>
      <w:r/>
    </w:p>
    <w:p>
      <w:pPr>
        <w:pStyle w:val="895"/>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895"/>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89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8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rPr>
          <w:rFonts w:hint="eastAsia" w:ascii="仿宋" w:hAnsi="仿宋" w:eastAsia="仿宋"/>
          <w:sz w:val="28"/>
        </w:rPr>
      </w:r>
      <w:r/>
    </w:p>
    <w:p>
      <w:pPr>
        <w:pStyle w:val="895"/>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895"/>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895"/>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895"/>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895"/>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8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rPr>
          <w:rFonts w:hint="eastAsia" w:ascii="仿宋" w:hAnsi="仿宋" w:eastAsia="仿宋"/>
          <w:sz w:val="28"/>
        </w:rPr>
      </w:r>
      <w:r/>
    </w:p>
    <w:p>
      <w:pPr>
        <w:pStyle w:val="895"/>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895"/>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895"/>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895"/>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895"/>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895"/>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rPr>
          <w:rFonts w:hint="eastAsia" w:ascii="仿宋" w:hAnsi="仿宋" w:eastAsia="仿宋"/>
          <w:sz w:val="28"/>
          <w:szCs w:val="28"/>
        </w:rPr>
      </w:r>
      <w:r/>
    </w:p>
    <w:p>
      <w:pPr>
        <w:pStyle w:val="8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rPr>
          <w:rFonts w:hint="eastAsia" w:ascii="仿宋" w:hAnsi="仿宋" w:eastAsia="仿宋"/>
          <w:sz w:val="28"/>
        </w:rPr>
      </w:r>
      <w:r/>
    </w:p>
    <w:p>
      <w:pPr>
        <w:pStyle w:val="895"/>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895"/>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895"/>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895"/>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895"/>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0天内，乙方未能答复，上达索赔应视为已被乙方接受。若乙方未能在甲方提出索赔通知后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rPr>
          <w:rFonts w:hint="eastAsia" w:ascii="仿宋" w:hAnsi="仿宋" w:eastAsia="仿宋"/>
          <w:sz w:val="28"/>
          <w:szCs w:val="28"/>
        </w:rPr>
      </w:r>
      <w:r/>
    </w:p>
    <w:p>
      <w:pPr>
        <w:pStyle w:val="8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rPr>
          <w:rFonts w:hint="eastAsia" w:ascii="仿宋" w:hAnsi="仿宋" w:eastAsia="仿宋"/>
          <w:sz w:val="28"/>
        </w:rPr>
      </w:r>
      <w:r/>
    </w:p>
    <w:p>
      <w:pPr>
        <w:pStyle w:val="895"/>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895"/>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hint="eastAsia" w:ascii="仿宋" w:hAnsi="仿宋" w:eastAsia="仿宋"/>
          <w:sz w:val="28"/>
          <w:szCs w:val="28"/>
        </w:rPr>
      </w:r>
      <w:r/>
    </w:p>
    <w:p>
      <w:pPr>
        <w:pStyle w:val="895"/>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89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rPr>
          <w:rFonts w:hint="eastAsia" w:ascii="仿宋" w:hAnsi="仿宋" w:eastAsia="仿宋"/>
          <w:sz w:val="28"/>
          <w:szCs w:val="28"/>
        </w:rPr>
      </w:r>
      <w:r/>
    </w:p>
    <w:p>
      <w:pPr>
        <w:pStyle w:val="895"/>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rPr>
          <w:rFonts w:hint="eastAsia" w:ascii="仿宋" w:hAnsi="仿宋" w:eastAsia="仿宋"/>
          <w:sz w:val="28"/>
          <w:szCs w:val="28"/>
        </w:rPr>
      </w:r>
      <w:r/>
    </w:p>
    <w:p>
      <w:pPr>
        <w:pStyle w:val="89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rPr>
          <w:rFonts w:hint="eastAsia" w:ascii="仿宋" w:hAnsi="仿宋" w:eastAsia="仿宋"/>
          <w:sz w:val="28"/>
          <w:szCs w:val="28"/>
        </w:rPr>
      </w:r>
      <w:r/>
    </w:p>
    <w:p>
      <w:pPr>
        <w:pStyle w:val="895"/>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895"/>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8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rPr>
          <w:rFonts w:hint="eastAsia" w:ascii="仿宋" w:hAnsi="仿宋" w:eastAsia="仿宋"/>
          <w:sz w:val="28"/>
        </w:rPr>
      </w:r>
      <w:r/>
    </w:p>
    <w:p>
      <w:pPr>
        <w:pStyle w:val="895"/>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895"/>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89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rPr>
          <w:rFonts w:hint="eastAsia" w:ascii="仿宋" w:hAnsi="仿宋" w:eastAsia="仿宋"/>
          <w:sz w:val="28"/>
          <w:szCs w:val="28"/>
        </w:rPr>
      </w:r>
      <w:r/>
    </w:p>
    <w:p>
      <w:pPr>
        <w:pStyle w:val="895"/>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rPr>
          <w:rFonts w:hint="eastAsia" w:ascii="仿宋" w:hAnsi="仿宋" w:eastAsia="仿宋"/>
          <w:sz w:val="28"/>
          <w:szCs w:val="28"/>
        </w:rPr>
      </w:r>
      <w:r/>
    </w:p>
    <w:p>
      <w:pPr>
        <w:pStyle w:val="895"/>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895"/>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895"/>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在仲裁期间，除正在进行仲裁的部分外，合同其它部分继续执行。</w:t>
      </w:r>
      <w:r>
        <w:rPr>
          <w:rFonts w:hint="eastAsia" w:ascii="仿宋" w:hAnsi="仿宋" w:eastAsia="仿宋"/>
          <w:b/>
          <w:sz w:val="28"/>
          <w:szCs w:val="28"/>
        </w:rPr>
        <w:t xml:space="preserve"> </w:t>
      </w:r>
      <w:r>
        <w:rPr>
          <w:rFonts w:hint="eastAsia" w:ascii="仿宋" w:hAnsi="仿宋" w:eastAsia="仿宋"/>
          <w:sz w:val="28"/>
          <w:szCs w:val="28"/>
        </w:rPr>
      </w:r>
      <w:r/>
    </w:p>
    <w:p>
      <w:pPr>
        <w:pStyle w:val="89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960"/>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int="eastAsia" w:hAnsi="仿宋"/>
          <w:sz w:val="28"/>
          <w:szCs w:val="28"/>
        </w:rPr>
      </w:r>
      <w:r/>
    </w:p>
    <w:p>
      <w:pPr>
        <w:pStyle w:val="960"/>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rPr>
          <w:rFonts w:hint="eastAsia" w:hAnsi="仿宋"/>
          <w:sz w:val="28"/>
          <w:szCs w:val="28"/>
        </w:rPr>
      </w:r>
      <w:r/>
    </w:p>
    <w:p>
      <w:pPr>
        <w:pStyle w:val="960"/>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int="eastAsia" w:hAnsi="仿宋"/>
          <w:sz w:val="28"/>
          <w:szCs w:val="28"/>
        </w:rPr>
      </w:r>
      <w:r/>
    </w:p>
    <w:p>
      <w:pPr>
        <w:pStyle w:val="960"/>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rPr>
      </w:r>
      <w:r/>
    </w:p>
    <w:p>
      <w:pPr>
        <w:pStyle w:val="916"/>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rPr>
          <w:rFonts w:hint="eastAsia" w:ascii="仿宋" w:hAnsi="仿宋" w:eastAsia="仿宋"/>
          <w:sz w:val="28"/>
        </w:rPr>
      </w:r>
      <w:r/>
    </w:p>
    <w:p>
      <w:pPr>
        <w:pStyle w:val="916"/>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17.1如果乙方破产或无清偿能力，甲方可在任何时候以书面形式通知乙方中止合同而不给乙方补偿。该中止合同将不损害或影响甲方和使用方已经采取或将要采取的任何行动或补救措施的权力。</w:t>
      </w:r>
      <w:r>
        <w:rPr>
          <w:rFonts w:hint="eastAsia" w:ascii="仿宋" w:hAnsi="仿宋" w:eastAsia="仿宋"/>
          <w:sz w:val="28"/>
          <w:szCs w:val="24"/>
        </w:rPr>
      </w:r>
      <w:r/>
    </w:p>
    <w:p>
      <w:pPr>
        <w:pStyle w:val="916"/>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rPr>
          <w:rFonts w:hint="eastAsia" w:ascii="仿宋" w:hAnsi="仿宋" w:eastAsia="仿宋"/>
          <w:sz w:val="28"/>
        </w:rPr>
      </w:r>
      <w:r/>
    </w:p>
    <w:p>
      <w:pPr>
        <w:pStyle w:val="916"/>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hint="eastAsia" w:ascii="仿宋" w:hAnsi="仿宋" w:eastAsia="仿宋"/>
          <w:sz w:val="28"/>
        </w:rPr>
      </w:r>
      <w:r/>
    </w:p>
    <w:p>
      <w:pPr>
        <w:pStyle w:val="916"/>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rPr>
          <w:rFonts w:hint="eastAsia" w:ascii="仿宋" w:hAnsi="仿宋" w:eastAsia="仿宋"/>
          <w:sz w:val="28"/>
        </w:rPr>
      </w:r>
      <w:r/>
    </w:p>
    <w:p>
      <w:pPr>
        <w:pStyle w:val="895"/>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916"/>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916"/>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rPr>
          <w:rFonts w:hint="eastAsia" w:ascii="仿宋" w:hAnsi="仿宋" w:eastAsia="仿宋"/>
          <w:sz w:val="28"/>
          <w:szCs w:val="24"/>
        </w:rPr>
      </w:r>
      <w:r/>
    </w:p>
    <w:p>
      <w:pPr>
        <w:pStyle w:val="916"/>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895"/>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sz w:val="28"/>
        </w:rPr>
        <w:t xml:space="preserve">19.5本合同应按照中华人民共和国的现行法律进行解释。</w:t>
      </w:r>
      <w:r>
        <w:rPr>
          <w:rFonts w:hint="eastAsia" w:ascii="仿宋" w:hAnsi="仿宋" w:eastAsia="仿宋"/>
          <w:bCs/>
          <w:sz w:val="28"/>
          <w:szCs w:val="28"/>
        </w:rPr>
      </w:r>
      <w:r/>
    </w:p>
    <w:p>
      <w:pPr>
        <w:pStyle w:val="916"/>
        <w:jc w:val="center"/>
        <w:keepLines w:val="0"/>
        <w:keepNext w:val="0"/>
        <w:pageBreakBefore w:val="0"/>
        <w:spacing w:line="520" w:lineRule="exact"/>
        <w:widowControl w:val="off"/>
        <w:rPr>
          <w:rFonts w:hint="eastAsia" w:ascii="仿宋" w:hAnsi="仿宋" w:eastAsia="仿宋"/>
          <w:b/>
          <w:bCs/>
          <w:sz w:val="36"/>
          <w:szCs w:val="36"/>
          <w:lang w:val="zh-CN"/>
        </w:rPr>
        <w:outlineLvl w:val="9"/>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916"/>
        <w:spacing w:line="520" w:lineRule="exact"/>
        <w:rPr>
          <w:rFonts w:hint="eastAsia" w:ascii="仿宋" w:hAnsi="仿宋" w:eastAsia="仿宋"/>
          <w:bCs/>
          <w:sz w:val="28"/>
          <w:szCs w:val="28"/>
        </w:rPr>
      </w:pPr>
      <w:r>
        <w:rPr>
          <w:rFonts w:hint="eastAsia" w:ascii="仿宋" w:hAnsi="仿宋" w:eastAsia="仿宋"/>
          <w:bCs/>
          <w:sz w:val="28"/>
          <w:szCs w:val="28"/>
        </w:rPr>
        <w:t xml:space="preserve">一、采购清单及技术参数要求</w:t>
      </w:r>
      <w:r>
        <w:rPr>
          <w:rFonts w:hint="eastAsia" w:ascii="仿宋" w:hAnsi="仿宋" w:eastAsia="仿宋"/>
          <w:bCs/>
          <w:sz w:val="28"/>
          <w:szCs w:val="28"/>
        </w:rPr>
      </w:r>
      <w:r/>
    </w:p>
    <w:tbl>
      <w:tblPr>
        <w:tblW w:w="8708" w:type="dxa"/>
        <w:jc w:val="center"/>
        <w:tblInd w:w="-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64" w:type="dxa"/>
          <w:top w:w="32" w:type="dxa"/>
          <w:right w:w="64" w:type="dxa"/>
          <w:bottom w:w="32" w:type="dxa"/>
        </w:tblCellMar>
        <w:tblLook w:val="04A0" w:firstRow="1" w:lastRow="0" w:firstColumn="1" w:lastColumn="0" w:noHBand="0" w:noVBand="1"/>
      </w:tblPr>
      <w:tblGrid>
        <w:gridCol w:w="966"/>
        <w:gridCol w:w="1138"/>
        <w:gridCol w:w="891"/>
        <w:gridCol w:w="5713"/>
      </w:tblGrid>
      <w:tr>
        <w:trPr>
          <w:tblHeader/>
        </w:trPr>
        <w:tc>
          <w:tcPr>
            <w:tcW w:w="966" w:type="dxa"/>
            <w:vAlign w:val="center"/>
            <w:textDirection w:val="lrTb"/>
            <w:noWrap w:val="false"/>
          </w:tcPr>
          <w:p>
            <w:pPr>
              <w:pStyle w:val="895"/>
              <w:jc w:val="center"/>
              <w:spacing w:line="360" w:lineRule="auto"/>
              <w:rPr>
                <w:rFonts w:hint="eastAsia" w:ascii="宋体" w:hAnsi="宋体" w:cs="宋体"/>
                <w:b/>
                <w:bCs/>
                <w:sz w:val="24"/>
              </w:rPr>
            </w:pPr>
            <w:r/>
            <w:bookmarkStart w:id="36" w:name="_Hlk33176550"/>
            <w:r>
              <w:rPr>
                <w:rFonts w:hint="eastAsia" w:ascii="宋体" w:hAnsi="宋体" w:cs="宋体"/>
                <w:b/>
                <w:bCs/>
                <w:sz w:val="24"/>
              </w:rPr>
              <w:t xml:space="preserve">序号</w:t>
            </w:r>
            <w:r>
              <w:rPr>
                <w:rFonts w:hint="eastAsia" w:ascii="宋体" w:hAnsi="宋体" w:cs="宋体"/>
                <w:b/>
                <w:bCs/>
                <w:sz w:val="24"/>
              </w:rPr>
            </w:r>
            <w:r/>
          </w:p>
        </w:tc>
        <w:tc>
          <w:tcPr>
            <w:tcW w:w="1138" w:type="dxa"/>
            <w:vAlign w:val="center"/>
            <w:textDirection w:val="lrTb"/>
            <w:noWrap w:val="false"/>
          </w:tcPr>
          <w:p>
            <w:pPr>
              <w:pStyle w:val="895"/>
              <w:jc w:val="center"/>
              <w:spacing w:line="360" w:lineRule="auto"/>
              <w:tabs>
                <w:tab w:val="left" w:pos="631" w:leader="none"/>
                <w:tab w:val="left" w:pos="1891" w:leader="none"/>
                <w:tab w:val="left" w:pos="9394" w:leader="none"/>
              </w:tabs>
              <w:rPr>
                <w:rFonts w:hint="eastAsia" w:ascii="宋体" w:hAnsi="宋体" w:cs="宋体"/>
                <w:b/>
                <w:sz w:val="24"/>
              </w:rPr>
            </w:pPr>
            <w:r>
              <w:rPr>
                <w:rFonts w:hint="eastAsia" w:ascii="宋体" w:hAnsi="宋体" w:cs="宋体"/>
                <w:b/>
                <w:sz w:val="24"/>
              </w:rPr>
              <w:t xml:space="preserve">货物名称</w:t>
            </w:r>
            <w:r>
              <w:rPr>
                <w:rFonts w:hint="eastAsia" w:ascii="宋体" w:hAnsi="宋体" w:cs="宋体"/>
                <w:b/>
                <w:sz w:val="24"/>
              </w:rPr>
            </w:r>
            <w:r/>
          </w:p>
        </w:tc>
        <w:tc>
          <w:tcPr>
            <w:tcW w:w="891" w:type="dxa"/>
            <w:vAlign w:val="center"/>
            <w:textDirection w:val="lrTb"/>
            <w:noWrap w:val="false"/>
          </w:tcPr>
          <w:p>
            <w:pPr>
              <w:pStyle w:val="895"/>
              <w:jc w:val="center"/>
              <w:spacing w:line="360" w:lineRule="auto"/>
              <w:tabs>
                <w:tab w:val="left" w:pos="631" w:leader="none"/>
                <w:tab w:val="left" w:pos="1891" w:leader="none"/>
                <w:tab w:val="left" w:pos="9394" w:leader="none"/>
              </w:tabs>
              <w:rPr>
                <w:rFonts w:hint="eastAsia" w:ascii="宋体" w:hAnsi="宋体" w:cs="宋体"/>
                <w:b/>
                <w:sz w:val="24"/>
              </w:rPr>
            </w:pPr>
            <w:r>
              <w:rPr>
                <w:rFonts w:hint="eastAsia" w:ascii="宋体" w:hAnsi="宋体" w:cs="宋体"/>
                <w:b/>
                <w:sz w:val="24"/>
              </w:rPr>
              <w:t xml:space="preserve">数量</w:t>
            </w:r>
            <w:r>
              <w:rPr>
                <w:rFonts w:hint="eastAsia" w:ascii="宋体" w:hAnsi="宋体" w:cs="宋体"/>
                <w:b/>
                <w:sz w:val="24"/>
              </w:rPr>
            </w:r>
            <w:r/>
          </w:p>
        </w:tc>
        <w:tc>
          <w:tcPr>
            <w:tcW w:w="5713" w:type="dxa"/>
            <w:vAlign w:val="center"/>
            <w:textDirection w:val="lrTb"/>
            <w:noWrap w:val="false"/>
          </w:tcPr>
          <w:p>
            <w:pPr>
              <w:pStyle w:val="895"/>
              <w:jc w:val="center"/>
              <w:spacing w:line="360" w:lineRule="auto"/>
              <w:tabs>
                <w:tab w:val="left" w:pos="631" w:leader="none"/>
                <w:tab w:val="left" w:pos="1891" w:leader="none"/>
                <w:tab w:val="left" w:pos="9394" w:leader="none"/>
              </w:tabs>
              <w:rPr>
                <w:rFonts w:hint="eastAsia" w:ascii="宋体" w:hAnsi="宋体" w:cs="宋体"/>
                <w:b/>
                <w:bCs/>
                <w:sz w:val="24"/>
              </w:rPr>
            </w:pPr>
            <w:r>
              <w:rPr>
                <w:rFonts w:hint="eastAsia" w:ascii="宋体" w:hAnsi="宋体" w:cs="宋体"/>
                <w:b/>
                <w:sz w:val="24"/>
              </w:rPr>
              <w:t xml:space="preserve">技术规格要求</w:t>
            </w:r>
            <w:r>
              <w:rPr>
                <w:rFonts w:hint="eastAsia" w:ascii="宋体" w:hAnsi="宋体" w:cs="宋体"/>
                <w:b/>
                <w:bCs/>
                <w:sz w:val="24"/>
              </w:rPr>
            </w:r>
            <w:r/>
          </w:p>
        </w:tc>
      </w:tr>
      <w:tr>
        <w:trPr/>
        <w:tc>
          <w:tcPr>
            <w:tcW w:w="966" w:type="dxa"/>
            <w:vAlign w:val="center"/>
            <w:textDirection w:val="lrTb"/>
            <w:noWrap w:val="false"/>
          </w:tcPr>
          <w:p>
            <w:pPr>
              <w:pStyle w:val="895"/>
              <w:jc w:val="center"/>
              <w:spacing w:line="360" w:lineRule="auto"/>
              <w:rPr>
                <w:rFonts w:ascii="宋体" w:hAnsi="宋体" w:cs="宋体"/>
                <w:b/>
                <w:bCs/>
                <w:sz w:val="24"/>
              </w:rPr>
            </w:pPr>
            <w:r/>
            <w:bookmarkEnd w:id="36"/>
            <w:r>
              <w:rPr>
                <w:rFonts w:hint="eastAsia" w:ascii="宋体" w:hAnsi="宋体"/>
                <w:b/>
                <w:bCs/>
                <w:sz w:val="24"/>
              </w:rPr>
              <w:t xml:space="preserve">一</w:t>
            </w:r>
            <w:r>
              <w:rPr>
                <w:rFonts w:ascii="宋体" w:hAnsi="宋体" w:cs="宋体"/>
                <w:b/>
                <w:bCs/>
                <w:sz w:val="24"/>
              </w:rPr>
            </w:r>
            <w:r/>
          </w:p>
        </w:tc>
        <w:tc>
          <w:tcPr>
            <w:tcW w:w="1138" w:type="dxa"/>
            <w:vAlign w:val="center"/>
            <w:textDirection w:val="lrTb"/>
            <w:noWrap w:val="false"/>
          </w:tcPr>
          <w:p>
            <w:pPr>
              <w:pStyle w:val="895"/>
              <w:jc w:val="center"/>
              <w:spacing w:line="360" w:lineRule="auto"/>
              <w:tabs>
                <w:tab w:val="left" w:pos="631" w:leader="none"/>
                <w:tab w:val="left" w:pos="1891" w:leader="none"/>
                <w:tab w:val="left" w:pos="9394" w:leader="none"/>
              </w:tabs>
              <w:rPr>
                <w:rFonts w:hint="eastAsia" w:ascii="宋体" w:hAnsi="宋体"/>
                <w:b/>
                <w:bCs/>
                <w:sz w:val="24"/>
              </w:rPr>
            </w:pPr>
            <w:r>
              <w:rPr>
                <w:rFonts w:hint="eastAsia" w:ascii="宋体" w:hAnsi="宋体"/>
                <w:b/>
                <w:bCs/>
                <w:sz w:val="24"/>
              </w:rPr>
              <w:t xml:space="preserve">救护车</w:t>
            </w:r>
            <w:r>
              <w:rPr>
                <w:rFonts w:hint="eastAsia" w:ascii="宋体" w:hAnsi="宋体"/>
                <w:b/>
                <w:bCs/>
                <w:sz w:val="24"/>
              </w:rPr>
            </w:r>
            <w:r/>
          </w:p>
        </w:tc>
        <w:tc>
          <w:tcPr>
            <w:tcW w:w="891" w:type="dxa"/>
            <w:vAlign w:val="center"/>
            <w:textDirection w:val="lrTb"/>
            <w:noWrap w:val="false"/>
          </w:tcPr>
          <w:p>
            <w:pPr>
              <w:pStyle w:val="895"/>
              <w:jc w:val="center"/>
              <w:spacing w:line="360" w:lineRule="auto"/>
              <w:tabs>
                <w:tab w:val="left" w:pos="631" w:leader="none"/>
                <w:tab w:val="left" w:pos="1891" w:leader="none"/>
                <w:tab w:val="left" w:pos="9394" w:leader="none"/>
              </w:tabs>
              <w:rPr>
                <w:rFonts w:hint="eastAsia" w:ascii="宋体" w:hAnsi="宋体" w:cs="宋体"/>
                <w:b/>
                <w:sz w:val="24"/>
              </w:rPr>
            </w:pPr>
            <w:r>
              <w:rPr>
                <w:rFonts w:hint="eastAsia" w:ascii="宋体" w:hAnsi="宋体" w:cs="宋体"/>
                <w:b/>
                <w:sz w:val="24"/>
              </w:rPr>
              <w:t xml:space="preserve">2台</w:t>
            </w:r>
            <w:r>
              <w:rPr>
                <w:rFonts w:hint="eastAsia" w:ascii="宋体" w:hAnsi="宋体" w:cs="宋体"/>
                <w:b/>
                <w:sz w:val="24"/>
              </w:rPr>
            </w:r>
            <w:r/>
          </w:p>
        </w:tc>
        <w:tc>
          <w:tcPr>
            <w:tcW w:w="5713" w:type="dxa"/>
            <w:vAlign w:val="center"/>
            <w:textDirection w:val="lrTb"/>
            <w:noWrap w:val="false"/>
          </w:tcPr>
          <w:p>
            <w:pPr>
              <w:pStyle w:val="895"/>
              <w:jc w:val="left"/>
              <w:spacing w:line="360" w:lineRule="auto"/>
              <w:tabs>
                <w:tab w:val="left" w:pos="631" w:leader="none"/>
                <w:tab w:val="left" w:pos="1891" w:leader="none"/>
                <w:tab w:val="left" w:pos="9394" w:leader="none"/>
              </w:tabs>
              <w:rPr>
                <w:rFonts w:hint="eastAsia" w:ascii="宋体" w:hAnsi="宋体" w:cs="宋体"/>
                <w:b/>
                <w:sz w:val="24"/>
              </w:rPr>
            </w:pPr>
            <w:r>
              <w:rPr>
                <w:rFonts w:hint="eastAsia" w:ascii="宋体" w:hAnsi="宋体" w:cs="宋体"/>
                <w:b/>
                <w:sz w:val="24"/>
              </w:rPr>
              <w:t xml:space="preserve">整车技术要求</w:t>
            </w:r>
            <w:r>
              <w:rPr>
                <w:rFonts w:hint="eastAsia" w:ascii="宋体" w:hAnsi="宋体" w:cs="宋体"/>
                <w:b/>
                <w:sz w:val="24"/>
              </w:rPr>
            </w:r>
            <w:r/>
          </w:p>
          <w:p>
            <w:pPr>
              <w:pStyle w:val="895"/>
              <w:jc w:val="left"/>
              <w:spacing w:line="360" w:lineRule="auto"/>
              <w:tabs>
                <w:tab w:val="left" w:pos="631" w:leader="none"/>
                <w:tab w:val="left" w:pos="1891" w:leader="none"/>
                <w:tab w:val="left" w:pos="9394" w:leader="none"/>
              </w:tabs>
              <w:rPr>
                <w:rFonts w:ascii="宋体" w:hAnsi="宋体"/>
                <w:sz w:val="24"/>
              </w:rPr>
            </w:pPr>
            <w:r>
              <w:rPr>
                <w:rFonts w:hint="eastAsia" w:ascii="宋体" w:hAnsi="宋体"/>
                <w:sz w:val="24"/>
              </w:rPr>
              <w:t xml:space="preserve">1、</w:t>
            </w:r>
            <w:r>
              <w:rPr>
                <w:rFonts w:ascii="宋体" w:hAnsi="宋体"/>
                <w:sz w:val="24"/>
              </w:rPr>
              <w:t xml:space="preserve">投标车型应适应各种自然条件，适应户外长时期作业的需求，适合城市道路，社区通行及郊县崎岖道路，适应气温－35到60摄氏度之间。</w:t>
            </w:r>
            <w:r>
              <w:rPr>
                <w:rFonts w:ascii="宋体" w:hAnsi="宋体"/>
                <w:sz w:val="24"/>
              </w:rPr>
            </w:r>
            <w:r/>
          </w:p>
          <w:p>
            <w:pPr>
              <w:pStyle w:val="895"/>
              <w:jc w:val="left"/>
              <w:spacing w:line="360" w:lineRule="auto"/>
              <w:tabs>
                <w:tab w:val="left" w:pos="631" w:leader="none"/>
                <w:tab w:val="left" w:pos="1891" w:leader="none"/>
                <w:tab w:val="left" w:pos="9394" w:leader="none"/>
              </w:tabs>
              <w:rPr>
                <w:rFonts w:ascii="宋体" w:hAnsi="宋体"/>
                <w:sz w:val="24"/>
              </w:rPr>
            </w:pPr>
            <w:r>
              <w:rPr>
                <w:rFonts w:hint="eastAsia" w:ascii="宋体" w:hAnsi="宋体"/>
                <w:sz w:val="24"/>
              </w:rPr>
              <w:t xml:space="preserve">2、投标车型应具备国家发改委目录公告，能在买方所在地公安交通管理部门办理特种车上牌照手续。</w:t>
            </w:r>
            <w:r>
              <w:rPr>
                <w:rFonts w:ascii="宋体" w:hAnsi="宋体"/>
                <w:sz w:val="24"/>
              </w:rPr>
            </w:r>
            <w:r/>
          </w:p>
          <w:p>
            <w:pPr>
              <w:pStyle w:val="895"/>
              <w:jc w:val="left"/>
              <w:spacing w:line="360" w:lineRule="auto"/>
              <w:tabs>
                <w:tab w:val="left" w:pos="631" w:leader="none"/>
                <w:tab w:val="left" w:pos="1891" w:leader="none"/>
                <w:tab w:val="left" w:pos="9394" w:leader="none"/>
              </w:tabs>
              <w:rPr>
                <w:rFonts w:hint="eastAsia" w:ascii="宋体" w:hAnsi="宋体"/>
                <w:b/>
                <w:bCs/>
                <w:sz w:val="24"/>
              </w:rPr>
            </w:pPr>
            <w:r>
              <w:rPr>
                <w:rFonts w:hint="eastAsia" w:ascii="宋体" w:hAnsi="宋体"/>
                <w:b/>
                <w:bCs/>
                <w:sz w:val="24"/>
              </w:rPr>
              <w:t xml:space="preserve">车辆技术要求</w:t>
            </w:r>
            <w:r>
              <w:rPr>
                <w:rFonts w:hint="eastAsia" w:ascii="宋体" w:hAnsi="宋体"/>
                <w:b/>
                <w:bCs/>
                <w:sz w:val="24"/>
              </w:rPr>
            </w:r>
            <w:r/>
          </w:p>
          <w:p>
            <w:pPr>
              <w:pStyle w:val="895"/>
              <w:jc w:val="left"/>
              <w:spacing w:line="360" w:lineRule="auto"/>
              <w:tabs>
                <w:tab w:val="left" w:pos="631" w:leader="none"/>
                <w:tab w:val="left" w:pos="1891" w:leader="none"/>
                <w:tab w:val="left" w:pos="9394" w:leader="none"/>
              </w:tabs>
              <w:rPr>
                <w:rFonts w:ascii="宋体" w:hAnsi="宋体" w:cs="宋体"/>
                <w:color w:val="000000"/>
                <w:sz w:val="24"/>
              </w:rPr>
            </w:pPr>
            <w:r>
              <w:rPr>
                <w:rFonts w:hint="eastAsia" w:ascii="宋体" w:hAnsi="宋体" w:cs="宋体"/>
                <w:sz w:val="24"/>
              </w:rPr>
              <w:t xml:space="preserve">★1、</w:t>
            </w:r>
            <w:r>
              <w:rPr>
                <w:rFonts w:hint="eastAsia" w:ascii="宋体" w:hAnsi="宋体" w:cs="宋体"/>
                <w:sz w:val="24"/>
              </w:rPr>
              <w:t xml:space="preserve">外形尺寸：</w:t>
            </w:r>
            <w:r>
              <w:rPr>
                <w:rFonts w:hint="eastAsia" w:ascii="宋体" w:hAnsi="宋体" w:cs="宋体"/>
                <w:color w:val="000000"/>
                <w:sz w:val="24"/>
              </w:rPr>
              <w:t xml:space="preserve"> 5400mm≥长≥5</w:t>
            </w:r>
            <w:r>
              <w:rPr>
                <w:rFonts w:ascii="宋体" w:hAnsi="宋体" w:cs="宋体"/>
                <w:color w:val="000000"/>
                <w:sz w:val="24"/>
              </w:rPr>
              <w:t xml:space="preserve">3</w:t>
            </w:r>
            <w:r>
              <w:rPr>
                <w:rFonts w:hint="eastAsia" w:ascii="宋体" w:hAnsi="宋体" w:cs="宋体"/>
                <w:color w:val="000000"/>
                <w:sz w:val="24"/>
              </w:rPr>
              <w:t xml:space="preserve">00mm、2050mm≥宽≥19</w:t>
            </w:r>
            <w:r>
              <w:rPr>
                <w:rFonts w:ascii="宋体" w:hAnsi="宋体" w:cs="宋体"/>
                <w:color w:val="000000"/>
                <w:sz w:val="24"/>
              </w:rPr>
              <w:t xml:space="preserve">0</w:t>
            </w:r>
            <w:r>
              <w:rPr>
                <w:rFonts w:hint="eastAsia" w:ascii="宋体" w:hAnsi="宋体" w:cs="宋体"/>
                <w:color w:val="000000"/>
                <w:sz w:val="24"/>
              </w:rPr>
              <w:t xml:space="preserve">0mm、2</w:t>
            </w:r>
            <w:r>
              <w:rPr>
                <w:rFonts w:ascii="宋体" w:hAnsi="宋体" w:cs="宋体"/>
                <w:color w:val="000000"/>
                <w:sz w:val="24"/>
              </w:rPr>
              <w:t xml:space="preserve">45</w:t>
            </w:r>
            <w:r>
              <w:rPr>
                <w:rFonts w:hint="eastAsia" w:ascii="宋体" w:hAnsi="宋体" w:cs="宋体"/>
                <w:color w:val="000000"/>
                <w:sz w:val="24"/>
              </w:rPr>
              <w:t xml:space="preserve">0mm≥高≥2</w:t>
            </w:r>
            <w:r>
              <w:rPr>
                <w:rFonts w:ascii="宋体" w:hAnsi="宋体" w:cs="宋体"/>
                <w:color w:val="000000"/>
                <w:sz w:val="24"/>
              </w:rPr>
              <w:t xml:space="preserve">35</w:t>
            </w:r>
            <w:r>
              <w:rPr>
                <w:rFonts w:hint="eastAsia" w:ascii="宋体" w:hAnsi="宋体" w:cs="宋体"/>
                <w:color w:val="000000"/>
                <w:sz w:val="24"/>
              </w:rPr>
              <w:t xml:space="preserve">0mm</w:t>
            </w:r>
            <w:r>
              <w:rPr>
                <w:rFonts w:ascii="宋体" w:hAnsi="宋体" w:cs="宋体"/>
                <w:color w:val="000000"/>
                <w:sz w:val="24"/>
              </w:rPr>
            </w:r>
            <w:r/>
          </w:p>
          <w:p>
            <w:pPr>
              <w:pStyle w:val="895"/>
              <w:jc w:val="left"/>
              <w:spacing w:line="360" w:lineRule="auto"/>
              <w:tabs>
                <w:tab w:val="left" w:pos="631" w:leader="none"/>
                <w:tab w:val="left" w:pos="1891" w:leader="none"/>
                <w:tab w:val="left" w:pos="9394" w:leader="none"/>
              </w:tabs>
              <w:rPr>
                <w:rFonts w:ascii="宋体" w:hAnsi="宋体" w:cs="宋体"/>
                <w:color w:val="000000"/>
                <w:sz w:val="24"/>
              </w:rPr>
            </w:pPr>
            <w:r>
              <w:rPr>
                <w:rFonts w:hint="eastAsia" w:ascii="宋体" w:hAnsi="宋体" w:cs="宋体"/>
                <w:sz w:val="24"/>
              </w:rPr>
              <w:t xml:space="preserve">2、医疗舱尺度：</w:t>
            </w:r>
            <w:r>
              <w:rPr>
                <w:rFonts w:hint="eastAsia" w:ascii="宋体" w:hAnsi="宋体" w:cs="宋体"/>
                <w:color w:val="000000"/>
                <w:sz w:val="24"/>
              </w:rPr>
              <w:t xml:space="preserve">2800mm≥长≥2700mm、1700mm≥宽≥1600mm、1800mm≥高≥1700mm</w:t>
            </w:r>
            <w:r>
              <w:rPr>
                <w:rFonts w:ascii="宋体" w:hAnsi="宋体" w:cs="宋体"/>
                <w:color w:val="000000"/>
                <w:sz w:val="24"/>
              </w:rPr>
            </w:r>
            <w:r/>
          </w:p>
          <w:p>
            <w:pPr>
              <w:pStyle w:val="895"/>
              <w:jc w:val="left"/>
              <w:spacing w:line="360" w:lineRule="auto"/>
              <w:tabs>
                <w:tab w:val="left" w:pos="631" w:leader="none"/>
                <w:tab w:val="left" w:pos="1891" w:leader="none"/>
                <w:tab w:val="left" w:pos="9394" w:leader="none"/>
              </w:tabs>
              <w:rPr>
                <w:rFonts w:ascii="宋体" w:hAnsi="宋体" w:cs="宋体"/>
                <w:color w:val="000000"/>
                <w:sz w:val="24"/>
              </w:rPr>
            </w:pPr>
            <w:r>
              <w:rPr>
                <w:rFonts w:hint="eastAsia" w:ascii="宋体" w:hAnsi="宋体" w:cs="宋体"/>
                <w:sz w:val="24"/>
              </w:rPr>
              <w:t xml:space="preserve">3、轴距≥3300mm</w:t>
            </w:r>
            <w:r>
              <w:rPr>
                <w:rFonts w:ascii="宋体" w:hAnsi="宋体" w:cs="宋体"/>
                <w:color w:val="000000"/>
                <w:sz w:val="24"/>
              </w:rPr>
            </w:r>
            <w:r/>
          </w:p>
          <w:p>
            <w:pPr>
              <w:pStyle w:val="895"/>
              <w:jc w:val="left"/>
              <w:spacing w:line="360" w:lineRule="auto"/>
              <w:tabs>
                <w:tab w:val="left" w:pos="631" w:leader="none"/>
                <w:tab w:val="left" w:pos="1891" w:leader="none"/>
                <w:tab w:val="left" w:pos="9394" w:leader="none"/>
              </w:tabs>
              <w:rPr>
                <w:rFonts w:ascii="宋体" w:hAnsi="宋体" w:cs="宋体"/>
                <w:color w:val="000000"/>
                <w:sz w:val="24"/>
              </w:rPr>
            </w:pPr>
            <w:r>
              <w:rPr>
                <w:rFonts w:hint="eastAsia" w:ascii="宋体" w:hAnsi="宋体" w:cs="宋体"/>
                <w:sz w:val="24"/>
              </w:rPr>
              <w:t xml:space="preserve">4、最高时速≥1</w:t>
            </w:r>
            <w:r>
              <w:rPr>
                <w:rFonts w:ascii="宋体" w:hAnsi="宋体" w:cs="宋体"/>
                <w:sz w:val="24"/>
              </w:rPr>
              <w:t xml:space="preserve">70</w:t>
            </w:r>
            <w:r>
              <w:rPr>
                <w:rFonts w:hint="eastAsia" w:ascii="宋体" w:hAnsi="宋体" w:cs="宋体"/>
                <w:sz w:val="24"/>
              </w:rPr>
              <w:t xml:space="preserve">KM/h</w:t>
            </w:r>
            <w:r>
              <w:rPr>
                <w:rFonts w:ascii="宋体" w:hAnsi="宋体" w:cs="宋体"/>
                <w:color w:val="000000"/>
                <w:sz w:val="24"/>
              </w:rPr>
            </w:r>
            <w:r/>
          </w:p>
          <w:p>
            <w:pPr>
              <w:pStyle w:val="895"/>
              <w:jc w:val="left"/>
              <w:spacing w:line="360" w:lineRule="auto"/>
              <w:tabs>
                <w:tab w:val="left" w:pos="631" w:leader="none"/>
                <w:tab w:val="left" w:pos="1891" w:leader="none"/>
                <w:tab w:val="left" w:pos="9394" w:leader="none"/>
              </w:tabs>
              <w:rPr>
                <w:rFonts w:ascii="宋体" w:hAnsi="宋体" w:cs="宋体"/>
                <w:color w:val="000000"/>
                <w:sz w:val="24"/>
              </w:rPr>
            </w:pPr>
            <w:r>
              <w:rPr>
                <w:rFonts w:hint="eastAsia" w:ascii="宋体" w:hAnsi="宋体" w:cs="宋体"/>
                <w:sz w:val="24"/>
              </w:rPr>
              <w:t xml:space="preserve">5、整备质量≤2460Kg</w:t>
            </w:r>
            <w:r>
              <w:rPr>
                <w:rFonts w:ascii="宋体" w:hAnsi="宋体" w:cs="宋体"/>
                <w:color w:val="000000"/>
                <w:sz w:val="24"/>
              </w:rPr>
            </w:r>
            <w:r/>
          </w:p>
          <w:p>
            <w:pPr>
              <w:pStyle w:val="895"/>
              <w:jc w:val="left"/>
              <w:spacing w:line="360" w:lineRule="auto"/>
              <w:tabs>
                <w:tab w:val="left" w:pos="631" w:leader="none"/>
                <w:tab w:val="left" w:pos="1891" w:leader="none"/>
                <w:tab w:val="left" w:pos="9394" w:leader="none"/>
              </w:tabs>
              <w:rPr>
                <w:rFonts w:ascii="宋体" w:hAnsi="宋体" w:cs="宋体"/>
                <w:color w:val="000000"/>
                <w:sz w:val="24"/>
              </w:rPr>
            </w:pPr>
            <w:r>
              <w:rPr>
                <w:rFonts w:hint="eastAsia" w:ascii="宋体" w:hAnsi="宋体" w:cs="宋体"/>
                <w:sz w:val="24"/>
              </w:rPr>
              <w:t xml:space="preserve">6、总质量≤3300Kg</w:t>
            </w:r>
            <w:r>
              <w:rPr>
                <w:rFonts w:ascii="宋体" w:hAnsi="宋体" w:cs="宋体"/>
                <w:color w:val="000000"/>
                <w:sz w:val="24"/>
              </w:rPr>
            </w:r>
            <w:r/>
          </w:p>
          <w:p>
            <w:pPr>
              <w:pStyle w:val="895"/>
              <w:jc w:val="left"/>
              <w:spacing w:line="360" w:lineRule="auto"/>
              <w:tabs>
                <w:tab w:val="left" w:pos="631" w:leader="none"/>
                <w:tab w:val="left" w:pos="1891" w:leader="none"/>
                <w:tab w:val="left" w:pos="9394" w:leader="none"/>
              </w:tabs>
              <w:rPr>
                <w:rFonts w:ascii="宋体" w:hAnsi="宋体" w:cs="宋体"/>
                <w:color w:val="000000"/>
                <w:sz w:val="24"/>
              </w:rPr>
            </w:pPr>
            <w:r>
              <w:rPr>
                <w:rFonts w:hint="eastAsia" w:ascii="宋体" w:hAnsi="宋体" w:cs="宋体"/>
                <w:sz w:val="24"/>
              </w:rPr>
              <w:t xml:space="preserve">7、发动机排量≥19</w:t>
            </w:r>
            <w:r>
              <w:rPr>
                <w:rFonts w:ascii="宋体" w:hAnsi="宋体" w:cs="宋体"/>
                <w:sz w:val="24"/>
              </w:rPr>
              <w:t xml:space="preserve">9</w:t>
            </w:r>
            <w:r>
              <w:rPr>
                <w:rFonts w:hint="eastAsia" w:ascii="宋体" w:hAnsi="宋体" w:cs="宋体"/>
                <w:sz w:val="24"/>
              </w:rPr>
              <w:t xml:space="preserve">0ml</w:t>
            </w:r>
            <w:r>
              <w:rPr>
                <w:rFonts w:ascii="宋体" w:hAnsi="宋体" w:cs="宋体"/>
                <w:color w:val="000000"/>
                <w:sz w:val="24"/>
              </w:rPr>
            </w:r>
            <w:r/>
          </w:p>
          <w:p>
            <w:pPr>
              <w:pStyle w:val="895"/>
              <w:jc w:val="left"/>
              <w:spacing w:line="360" w:lineRule="auto"/>
              <w:tabs>
                <w:tab w:val="left" w:pos="631" w:leader="none"/>
                <w:tab w:val="left" w:pos="1891" w:leader="none"/>
                <w:tab w:val="left" w:pos="9394" w:leader="none"/>
              </w:tabs>
              <w:rPr>
                <w:rFonts w:ascii="宋体" w:hAnsi="宋体" w:cs="宋体"/>
                <w:color w:val="000000"/>
                <w:sz w:val="24"/>
              </w:rPr>
            </w:pPr>
            <w:r>
              <w:rPr>
                <w:rFonts w:hint="eastAsia" w:ascii="宋体" w:hAnsi="宋体" w:cs="宋体"/>
                <w:sz w:val="24"/>
              </w:rPr>
              <w:t xml:space="preserve">8、发动机型式前置（横置）、直列四缸、液冷、增压中冷、缸内直喷汽油机</w:t>
            </w:r>
            <w:r>
              <w:rPr>
                <w:rFonts w:ascii="宋体" w:hAnsi="宋体" w:cs="宋体"/>
                <w:color w:val="000000"/>
                <w:sz w:val="24"/>
              </w:rPr>
            </w:r>
            <w:r/>
          </w:p>
          <w:p>
            <w:pPr>
              <w:pStyle w:val="895"/>
              <w:jc w:val="left"/>
              <w:spacing w:line="360" w:lineRule="auto"/>
              <w:tabs>
                <w:tab w:val="left" w:pos="631" w:leader="none"/>
                <w:tab w:val="left" w:pos="1891" w:leader="none"/>
                <w:tab w:val="left" w:pos="9394" w:leader="none"/>
              </w:tabs>
              <w:rPr>
                <w:rFonts w:ascii="宋体" w:hAnsi="宋体" w:cs="宋体"/>
                <w:color w:val="000000"/>
                <w:sz w:val="24"/>
              </w:rPr>
            </w:pPr>
            <w:r>
              <w:rPr>
                <w:rFonts w:hint="eastAsia" w:ascii="宋体" w:hAnsi="宋体" w:cs="宋体"/>
                <w:sz w:val="24"/>
              </w:rPr>
              <w:t xml:space="preserve">9、燃油种类：汽油</w:t>
            </w:r>
            <w:r>
              <w:rPr>
                <w:rFonts w:ascii="宋体" w:hAnsi="宋体" w:cs="宋体"/>
                <w:color w:val="000000"/>
                <w:sz w:val="24"/>
              </w:rPr>
            </w:r>
            <w:r/>
          </w:p>
          <w:p>
            <w:pPr>
              <w:pStyle w:val="895"/>
              <w:jc w:val="left"/>
              <w:spacing w:line="360" w:lineRule="auto"/>
              <w:tabs>
                <w:tab w:val="left" w:pos="631" w:leader="none"/>
                <w:tab w:val="left" w:pos="1891" w:leader="none"/>
                <w:tab w:val="left" w:pos="9394" w:leader="none"/>
              </w:tabs>
              <w:rPr>
                <w:rFonts w:ascii="宋体" w:hAnsi="宋体" w:cs="宋体"/>
                <w:color w:val="000000"/>
                <w:sz w:val="24"/>
              </w:rPr>
            </w:pPr>
            <w:r>
              <w:rPr>
                <w:rFonts w:hint="eastAsia" w:ascii="宋体" w:hAnsi="宋体" w:cs="宋体"/>
                <w:sz w:val="24"/>
              </w:rPr>
              <w:t xml:space="preserve">10、额定功率≥1</w:t>
            </w:r>
            <w:r>
              <w:rPr>
                <w:rFonts w:ascii="宋体" w:hAnsi="宋体" w:cs="宋体"/>
                <w:sz w:val="24"/>
              </w:rPr>
              <w:t xml:space="preserve">60</w:t>
            </w:r>
            <w:r>
              <w:rPr>
                <w:rFonts w:hint="eastAsia" w:ascii="宋体" w:hAnsi="宋体" w:cs="宋体"/>
                <w:sz w:val="24"/>
              </w:rPr>
              <w:t xml:space="preserve">Kw</w:t>
            </w:r>
            <w:r>
              <w:rPr>
                <w:rFonts w:ascii="宋体" w:hAnsi="宋体" w:cs="宋体"/>
                <w:color w:val="000000"/>
                <w:sz w:val="24"/>
              </w:rPr>
            </w:r>
            <w:r/>
          </w:p>
          <w:p>
            <w:pPr>
              <w:pStyle w:val="895"/>
              <w:ind w:left="70"/>
              <w:jc w:val="left"/>
              <w:spacing w:line="360" w:lineRule="auto"/>
              <w:tabs>
                <w:tab w:val="left" w:pos="631" w:leader="none"/>
                <w:tab w:val="left" w:pos="1891" w:leader="none"/>
                <w:tab w:val="left" w:pos="9394" w:leader="none"/>
              </w:tabs>
              <w:rPr>
                <w:rFonts w:ascii="宋体" w:hAnsi="宋体" w:cs="宋体"/>
                <w:color w:val="000000"/>
                <w:sz w:val="24"/>
              </w:rPr>
            </w:pPr>
            <w:r>
              <w:rPr>
                <w:rFonts w:hint="eastAsia" w:ascii="宋体" w:hAnsi="宋体" w:cs="宋体"/>
                <w:sz w:val="24"/>
              </w:rPr>
              <w:t xml:space="preserve">11、最大扭矩≥3</w:t>
            </w:r>
            <w:r>
              <w:rPr>
                <w:rFonts w:ascii="宋体" w:hAnsi="宋体" w:cs="宋体"/>
                <w:sz w:val="24"/>
              </w:rPr>
              <w:t xml:space="preserve">5</w:t>
            </w:r>
            <w:r>
              <w:rPr>
                <w:rFonts w:hint="eastAsia" w:ascii="宋体" w:hAnsi="宋体" w:cs="宋体"/>
                <w:sz w:val="24"/>
              </w:rPr>
              <w:t xml:space="preserve">0N.m</w:t>
            </w:r>
            <w:r>
              <w:rPr>
                <w:rFonts w:ascii="宋体" w:hAnsi="宋体" w:cs="宋体"/>
                <w:color w:val="000000"/>
                <w:sz w:val="24"/>
              </w:rPr>
            </w:r>
            <w:r/>
          </w:p>
          <w:p>
            <w:pPr>
              <w:pStyle w:val="895"/>
              <w:ind w:left="70"/>
              <w:jc w:val="left"/>
              <w:spacing w:line="360" w:lineRule="auto"/>
              <w:tabs>
                <w:tab w:val="left" w:pos="631" w:leader="none"/>
                <w:tab w:val="left" w:pos="1891" w:leader="none"/>
                <w:tab w:val="left" w:pos="9394" w:leader="none"/>
              </w:tabs>
              <w:rPr>
                <w:rFonts w:ascii="宋体" w:hAnsi="宋体" w:cs="宋体"/>
                <w:color w:val="000000"/>
                <w:sz w:val="24"/>
              </w:rPr>
            </w:pPr>
            <w:r>
              <w:rPr>
                <w:rFonts w:hint="eastAsia" w:ascii="宋体" w:hAnsi="宋体" w:cs="宋体"/>
                <w:sz w:val="24"/>
              </w:rPr>
              <w:t xml:space="preserve">★12、</w:t>
            </w:r>
            <w:r>
              <w:rPr>
                <w:rFonts w:ascii="宋体" w:hAnsi="宋体"/>
                <w:sz w:val="24"/>
              </w:rPr>
              <w:t xml:space="preserve">尾气排放必须符合</w:t>
            </w:r>
            <w:r>
              <w:rPr>
                <w:rFonts w:hint="eastAsia" w:ascii="宋体" w:hAnsi="宋体" w:cs="宋体"/>
                <w:sz w:val="24"/>
              </w:rPr>
              <w:t xml:space="preserve">国</w:t>
            </w:r>
            <w:r>
              <w:rPr>
                <w:rFonts w:hint="eastAsia" w:ascii="宋体" w:hAnsi="宋体" w:cs="宋体"/>
                <w:sz w:val="24"/>
              </w:rPr>
              <w:t xml:space="preserve">VI</w:t>
            </w:r>
            <w:r>
              <w:rPr>
                <w:rFonts w:ascii="宋体" w:hAnsi="宋体"/>
                <w:sz w:val="24"/>
              </w:rPr>
              <w:t xml:space="preserve">标准</w:t>
            </w:r>
            <w:r>
              <w:rPr>
                <w:rFonts w:ascii="宋体" w:hAnsi="宋体" w:cs="宋体"/>
                <w:color w:val="000000"/>
                <w:sz w:val="24"/>
              </w:rPr>
            </w:r>
            <w:r/>
          </w:p>
          <w:p>
            <w:pPr>
              <w:pStyle w:val="895"/>
              <w:ind w:left="70"/>
              <w:jc w:val="left"/>
              <w:spacing w:line="360" w:lineRule="auto"/>
              <w:tabs>
                <w:tab w:val="left" w:pos="631" w:leader="none"/>
                <w:tab w:val="left" w:pos="1891" w:leader="none"/>
                <w:tab w:val="left" w:pos="9394" w:leader="none"/>
              </w:tabs>
              <w:rPr>
                <w:rFonts w:ascii="宋体" w:hAnsi="宋体" w:cs="宋体"/>
                <w:color w:val="000000"/>
                <w:sz w:val="24"/>
              </w:rPr>
            </w:pPr>
            <w:r>
              <w:rPr>
                <w:rFonts w:hint="eastAsia" w:ascii="宋体" w:hAnsi="宋体"/>
                <w:sz w:val="24"/>
              </w:rPr>
              <w:t xml:space="preserve">13、9档自动变速箱</w:t>
            </w:r>
            <w:r>
              <w:rPr>
                <w:rFonts w:ascii="宋体" w:hAnsi="宋体" w:cs="宋体"/>
                <w:color w:val="000000"/>
                <w:sz w:val="24"/>
              </w:rPr>
            </w:r>
            <w:r/>
          </w:p>
          <w:p>
            <w:pPr>
              <w:pStyle w:val="895"/>
              <w:ind w:left="70"/>
              <w:jc w:val="left"/>
              <w:spacing w:line="360" w:lineRule="auto"/>
              <w:tabs>
                <w:tab w:val="left" w:pos="631" w:leader="none"/>
                <w:tab w:val="left" w:pos="1891" w:leader="none"/>
                <w:tab w:val="left" w:pos="9394" w:leader="none"/>
              </w:tabs>
              <w:rPr>
                <w:rFonts w:ascii="宋体" w:hAnsi="宋体" w:cs="宋体"/>
                <w:color w:val="000000"/>
                <w:sz w:val="24"/>
              </w:rPr>
            </w:pPr>
            <w:r>
              <w:rPr>
                <w:rFonts w:hint="eastAsia" w:ascii="宋体" w:hAnsi="宋体" w:cs="宋体"/>
                <w:sz w:val="24"/>
              </w:rPr>
              <w:t xml:space="preserve">14、发电机为12V，功率为</w:t>
            </w:r>
            <w:r>
              <w:rPr>
                <w:rFonts w:ascii="宋体" w:hAnsi="宋体" w:cs="宋体"/>
                <w:sz w:val="24"/>
              </w:rPr>
              <w:t xml:space="preserve">120</w:t>
            </w:r>
            <w:r>
              <w:rPr>
                <w:rFonts w:hint="eastAsia" w:ascii="宋体" w:hAnsi="宋体" w:cs="宋体"/>
                <w:sz w:val="24"/>
              </w:rPr>
              <w:t xml:space="preserve">AH以上。</w:t>
            </w:r>
            <w:r>
              <w:rPr>
                <w:rFonts w:ascii="宋体" w:hAnsi="宋体" w:cs="宋体"/>
                <w:color w:val="000000"/>
                <w:sz w:val="24"/>
              </w:rPr>
            </w:r>
            <w:r/>
          </w:p>
          <w:p>
            <w:pPr>
              <w:pStyle w:val="895"/>
              <w:jc w:val="left"/>
              <w:spacing w:line="360" w:lineRule="auto"/>
              <w:tabs>
                <w:tab w:val="left" w:pos="631" w:leader="none"/>
                <w:tab w:val="left" w:pos="1891" w:leader="none"/>
                <w:tab w:val="left" w:pos="9394" w:leader="none"/>
              </w:tabs>
              <w:rPr>
                <w:rFonts w:ascii="宋体" w:hAnsi="宋体" w:cs="宋体"/>
                <w:color w:val="000000"/>
                <w:sz w:val="24"/>
              </w:rPr>
            </w:pPr>
            <w:r>
              <w:rPr>
                <w:rFonts w:hint="eastAsia" w:ascii="宋体" w:hAnsi="宋体" w:cs="宋体"/>
                <w:sz w:val="24"/>
              </w:rPr>
              <w:t xml:space="preserve">15、制动系统采用双管路液压制动、前通风盘式、后实心盘式，带防抱死制动系统（ABS）</w:t>
            </w:r>
            <w:r>
              <w:rPr>
                <w:rFonts w:ascii="宋体" w:hAnsi="宋体" w:cs="宋体"/>
                <w:color w:val="000000"/>
                <w:sz w:val="24"/>
              </w:rPr>
            </w:r>
            <w:r/>
          </w:p>
          <w:p>
            <w:pPr>
              <w:pStyle w:val="895"/>
              <w:jc w:val="left"/>
              <w:spacing w:line="360" w:lineRule="auto"/>
              <w:tabs>
                <w:tab w:val="left" w:pos="631" w:leader="none"/>
                <w:tab w:val="left" w:pos="1891" w:leader="none"/>
                <w:tab w:val="left" w:pos="9394" w:leader="none"/>
              </w:tabs>
              <w:rPr>
                <w:rFonts w:ascii="宋体" w:hAnsi="宋体" w:cs="宋体"/>
                <w:color w:val="000000"/>
                <w:sz w:val="24"/>
              </w:rPr>
            </w:pPr>
            <w:r>
              <w:rPr>
                <w:rFonts w:hint="eastAsia" w:ascii="宋体" w:hAnsi="宋体" w:cs="宋体"/>
                <w:sz w:val="24"/>
              </w:rPr>
              <w:t xml:space="preserve">16、空调控制：冷暖空调，前后双空调，独立控制。</w:t>
            </w:r>
            <w:r>
              <w:rPr>
                <w:rFonts w:ascii="宋体" w:hAnsi="宋体" w:cs="宋体"/>
                <w:color w:val="000000"/>
                <w:sz w:val="24"/>
              </w:rPr>
            </w:r>
            <w:r/>
          </w:p>
          <w:p>
            <w:pPr>
              <w:pStyle w:val="895"/>
              <w:jc w:val="left"/>
              <w:spacing w:line="360" w:lineRule="auto"/>
              <w:tabs>
                <w:tab w:val="left" w:pos="631" w:leader="none"/>
                <w:tab w:val="left" w:pos="1891" w:leader="none"/>
                <w:tab w:val="left" w:pos="9394" w:leader="none"/>
              </w:tabs>
              <w:rPr>
                <w:rFonts w:ascii="宋体" w:hAnsi="宋体" w:cs="宋体"/>
                <w:color w:val="000000"/>
                <w:sz w:val="24"/>
              </w:rPr>
            </w:pPr>
            <w:r>
              <w:rPr>
                <w:rFonts w:hint="eastAsia" w:ascii="宋体" w:hAnsi="宋体"/>
                <w:sz w:val="24"/>
              </w:rPr>
              <w:t xml:space="preserve">17、在环境温度-20摄氏度时，启动加热系统在15分钟内使车内温度至少达到22摄氏度以上。</w:t>
            </w:r>
            <w:r>
              <w:rPr>
                <w:rFonts w:ascii="宋体" w:hAnsi="宋体" w:cs="宋体"/>
                <w:color w:val="000000"/>
                <w:sz w:val="24"/>
              </w:rPr>
            </w:r>
            <w:r/>
          </w:p>
          <w:p>
            <w:pPr>
              <w:pStyle w:val="895"/>
              <w:jc w:val="left"/>
              <w:spacing w:line="360" w:lineRule="auto"/>
              <w:tabs>
                <w:tab w:val="left" w:pos="631" w:leader="none"/>
                <w:tab w:val="left" w:pos="1891" w:leader="none"/>
                <w:tab w:val="left" w:pos="9394" w:leader="none"/>
              </w:tabs>
              <w:rPr>
                <w:rFonts w:hint="eastAsia" w:ascii="宋体" w:hAnsi="宋体" w:cs="宋体"/>
                <w:color w:val="000000"/>
                <w:sz w:val="24"/>
              </w:rPr>
            </w:pPr>
            <w:r>
              <w:rPr>
                <w:rFonts w:hint="eastAsia" w:ascii="宋体" w:hAnsi="宋体" w:cs="宋体"/>
                <w:sz w:val="24"/>
              </w:rPr>
              <w:t xml:space="preserve">18、在环境温度40</w:t>
            </w:r>
            <w:r>
              <w:rPr>
                <w:rFonts w:hint="eastAsia" w:ascii="宋体" w:hAnsi="宋体"/>
                <w:sz w:val="24"/>
              </w:rPr>
              <w:t xml:space="preserve">摄氏度</w:t>
            </w:r>
            <w:r>
              <w:rPr>
                <w:rFonts w:hint="eastAsia" w:ascii="宋体" w:hAnsi="宋体" w:cs="宋体"/>
                <w:sz w:val="24"/>
              </w:rPr>
              <w:t xml:space="preserve">时，</w:t>
            </w:r>
            <w:r>
              <w:rPr>
                <w:rFonts w:hint="eastAsia" w:ascii="宋体" w:hAnsi="宋体"/>
                <w:sz w:val="24"/>
              </w:rPr>
              <w:t xml:space="preserve">启动制冷系统在15分钟内，</w:t>
            </w:r>
            <w:r>
              <w:rPr>
                <w:rFonts w:hint="eastAsia" w:ascii="宋体" w:hAnsi="宋体" w:cs="宋体"/>
                <w:sz w:val="24"/>
              </w:rPr>
              <w:t xml:space="preserve">使车内温度至少达到7</w:t>
            </w:r>
            <w:r>
              <w:rPr>
                <w:rFonts w:hint="eastAsia" w:ascii="宋体" w:hAnsi="宋体"/>
                <w:sz w:val="24"/>
              </w:rPr>
              <w:t xml:space="preserve">摄氏度</w:t>
            </w:r>
            <w:r>
              <w:rPr>
                <w:rFonts w:hint="eastAsia" w:ascii="宋体" w:hAnsi="宋体" w:cs="宋体"/>
                <w:sz w:val="24"/>
              </w:rPr>
              <w:t xml:space="preserve">以上。</w:t>
            </w:r>
            <w:r>
              <w:rPr>
                <w:rFonts w:hint="eastAsia" w:ascii="宋体" w:hAnsi="宋体" w:cs="宋体"/>
                <w:color w:val="000000"/>
                <w:sz w:val="24"/>
              </w:rPr>
            </w:r>
            <w:r/>
          </w:p>
          <w:p>
            <w:pPr>
              <w:pStyle w:val="895"/>
              <w:jc w:val="left"/>
              <w:spacing w:line="360" w:lineRule="auto"/>
              <w:tabs>
                <w:tab w:val="left" w:pos="631" w:leader="none"/>
                <w:tab w:val="left" w:pos="1891" w:leader="none"/>
                <w:tab w:val="left" w:pos="9394" w:leader="none"/>
              </w:tabs>
              <w:rPr>
                <w:rFonts w:hint="eastAsia" w:ascii="宋体" w:hAnsi="宋体" w:cs="宋体"/>
                <w:b/>
                <w:bCs/>
                <w:sz w:val="24"/>
              </w:rPr>
            </w:pPr>
            <w:r>
              <w:rPr>
                <w:rFonts w:hint="eastAsia" w:ascii="宋体" w:hAnsi="宋体" w:cs="宋体"/>
                <w:b/>
                <w:bCs/>
                <w:sz w:val="24"/>
              </w:rPr>
              <w:t xml:space="preserve">车辆所需要的其他配置</w:t>
            </w:r>
            <w:r>
              <w:rPr>
                <w:rFonts w:hint="eastAsia" w:ascii="宋体" w:hAnsi="宋体" w:cs="宋体"/>
                <w:b/>
                <w:bCs/>
                <w:sz w:val="24"/>
              </w:rPr>
            </w:r>
            <w:r/>
          </w:p>
          <w:p>
            <w:pPr>
              <w:pStyle w:val="895"/>
              <w:jc w:val="left"/>
              <w:spacing w:line="360" w:lineRule="auto"/>
              <w:tabs>
                <w:tab w:val="left" w:pos="631" w:leader="none"/>
                <w:tab w:val="left" w:pos="1891" w:leader="none"/>
                <w:tab w:val="left" w:pos="9394" w:leader="none"/>
              </w:tabs>
              <w:rPr>
                <w:rFonts w:hint="eastAsia" w:ascii="宋体" w:hAnsi="宋体" w:cs="宋体"/>
                <w:sz w:val="24"/>
              </w:rPr>
            </w:pPr>
            <w:r>
              <w:rPr>
                <w:rFonts w:hint="eastAsia" w:ascii="宋体" w:hAnsi="宋体" w:cs="宋体"/>
                <w:sz w:val="24"/>
              </w:rPr>
              <w:t xml:space="preserve">1、驾驶座应配有安全气囊。</w:t>
            </w:r>
            <w:r>
              <w:rPr>
                <w:rFonts w:hint="eastAsia" w:ascii="宋体" w:hAnsi="宋体" w:cs="宋体"/>
                <w:sz w:val="24"/>
              </w:rPr>
            </w:r>
            <w:r/>
          </w:p>
          <w:p>
            <w:pPr>
              <w:pStyle w:val="895"/>
              <w:jc w:val="left"/>
              <w:spacing w:line="360" w:lineRule="auto"/>
              <w:tabs>
                <w:tab w:val="left" w:pos="631" w:leader="none"/>
                <w:tab w:val="left" w:pos="1891" w:leader="none"/>
                <w:tab w:val="left" w:pos="9394" w:leader="none"/>
              </w:tabs>
              <w:rPr>
                <w:rFonts w:ascii="宋体" w:hAnsi="宋体" w:cs="宋体"/>
                <w:sz w:val="24"/>
              </w:rPr>
            </w:pPr>
            <w:r>
              <w:rPr>
                <w:rFonts w:hint="eastAsia" w:ascii="宋体" w:hAnsi="宋体" w:cs="宋体"/>
                <w:sz w:val="24"/>
              </w:rPr>
              <w:t xml:space="preserve">2、医疗舱右侧侧拉门上应为可开启式玻璃窗。</w:t>
            </w:r>
            <w:r>
              <w:rPr>
                <w:rFonts w:ascii="宋体" w:hAnsi="宋体" w:cs="宋体"/>
                <w:sz w:val="24"/>
              </w:rPr>
            </w:r>
            <w:r/>
          </w:p>
          <w:p>
            <w:pPr>
              <w:pStyle w:val="895"/>
              <w:jc w:val="left"/>
              <w:spacing w:line="360" w:lineRule="auto"/>
              <w:tabs>
                <w:tab w:val="left" w:pos="631" w:leader="none"/>
                <w:tab w:val="left" w:pos="1891" w:leader="none"/>
                <w:tab w:val="left" w:pos="9394" w:leader="none"/>
              </w:tabs>
              <w:rPr>
                <w:rFonts w:ascii="宋体" w:hAnsi="宋体" w:cs="宋体"/>
                <w:sz w:val="24"/>
              </w:rPr>
            </w:pPr>
            <w:r>
              <w:rPr>
                <w:rFonts w:hint="eastAsia" w:ascii="宋体" w:hAnsi="宋体" w:cs="宋体"/>
                <w:sz w:val="24"/>
              </w:rPr>
              <w:t xml:space="preserve">3、医疗舱右侧必须为大开度侧拉门。</w:t>
            </w:r>
            <w:r>
              <w:rPr>
                <w:rFonts w:ascii="宋体" w:hAnsi="宋体" w:cs="宋体"/>
                <w:sz w:val="24"/>
              </w:rPr>
            </w:r>
            <w:r/>
          </w:p>
          <w:p>
            <w:pPr>
              <w:pStyle w:val="895"/>
              <w:jc w:val="left"/>
              <w:spacing w:line="360" w:lineRule="auto"/>
              <w:tabs>
                <w:tab w:val="left" w:pos="631" w:leader="none"/>
                <w:tab w:val="left" w:pos="1891" w:leader="none"/>
                <w:tab w:val="left" w:pos="9394" w:leader="none"/>
              </w:tabs>
              <w:rPr>
                <w:rFonts w:ascii="宋体" w:hAnsi="宋体" w:cs="宋体"/>
                <w:sz w:val="24"/>
              </w:rPr>
            </w:pPr>
            <w:r>
              <w:rPr>
                <w:rFonts w:hint="eastAsia" w:ascii="宋体" w:hAnsi="宋体" w:cs="宋体"/>
                <w:sz w:val="24"/>
              </w:rPr>
              <w:t xml:space="preserve">4、尾门要求对开式，可180度打开。</w:t>
            </w:r>
            <w:r>
              <w:rPr>
                <w:rFonts w:ascii="宋体" w:hAnsi="宋体" w:cs="宋体"/>
                <w:sz w:val="24"/>
              </w:rPr>
            </w:r>
            <w:r/>
          </w:p>
          <w:p>
            <w:pPr>
              <w:pStyle w:val="895"/>
              <w:jc w:val="left"/>
              <w:spacing w:line="360" w:lineRule="auto"/>
              <w:tabs>
                <w:tab w:val="left" w:pos="631" w:leader="none"/>
                <w:tab w:val="left" w:pos="1891" w:leader="none"/>
                <w:tab w:val="left" w:pos="9394" w:leader="none"/>
              </w:tabs>
              <w:rPr>
                <w:rFonts w:ascii="宋体" w:hAnsi="宋体" w:cs="宋体"/>
                <w:sz w:val="24"/>
              </w:rPr>
            </w:pPr>
            <w:r>
              <w:rPr>
                <w:rFonts w:hint="eastAsia" w:ascii="宋体" w:hAnsi="宋体" w:cs="宋体"/>
                <w:sz w:val="24"/>
              </w:rPr>
              <w:t xml:space="preserve">5、医疗舱右侧侧拉门处应安装电动折叠伸缩式上车踏板。</w:t>
            </w:r>
            <w:r>
              <w:rPr>
                <w:rFonts w:ascii="宋体" w:hAnsi="宋体" w:cs="宋体"/>
                <w:sz w:val="24"/>
              </w:rPr>
            </w:r>
            <w:r/>
          </w:p>
          <w:p>
            <w:pPr>
              <w:pStyle w:val="895"/>
              <w:jc w:val="left"/>
              <w:spacing w:line="360" w:lineRule="auto"/>
              <w:tabs>
                <w:tab w:val="left" w:pos="631" w:leader="none"/>
                <w:tab w:val="left" w:pos="1891" w:leader="none"/>
                <w:tab w:val="left" w:pos="9394" w:leader="none"/>
              </w:tabs>
              <w:rPr>
                <w:rFonts w:ascii="宋体" w:hAnsi="宋体" w:cs="宋体"/>
                <w:sz w:val="24"/>
              </w:rPr>
            </w:pPr>
            <w:r>
              <w:rPr>
                <w:rFonts w:hint="eastAsia" w:ascii="宋体" w:hAnsi="宋体" w:cs="宋体"/>
                <w:sz w:val="24"/>
              </w:rPr>
              <w:t xml:space="preserve">6、后视镜为电动可调节后视镜。</w:t>
            </w:r>
            <w:r>
              <w:rPr>
                <w:rFonts w:ascii="宋体" w:hAnsi="宋体" w:cs="宋体"/>
                <w:sz w:val="24"/>
              </w:rPr>
            </w:r>
            <w:r/>
          </w:p>
          <w:p>
            <w:pPr>
              <w:pStyle w:val="895"/>
              <w:jc w:val="left"/>
              <w:spacing w:line="360" w:lineRule="auto"/>
              <w:tabs>
                <w:tab w:val="left" w:pos="631" w:leader="none"/>
                <w:tab w:val="left" w:pos="1891" w:leader="none"/>
                <w:tab w:val="left" w:pos="9394" w:leader="none"/>
              </w:tabs>
              <w:rPr>
                <w:rFonts w:ascii="宋体" w:hAnsi="宋体" w:cs="宋体"/>
                <w:sz w:val="24"/>
              </w:rPr>
            </w:pPr>
            <w:r>
              <w:rPr>
                <w:rFonts w:hint="eastAsia" w:ascii="宋体" w:hAnsi="宋体" w:cs="宋体"/>
                <w:sz w:val="24"/>
              </w:rPr>
              <w:t xml:space="preserve">7、应配备三点式以上的尾部倒车雷达。</w:t>
            </w:r>
            <w:r>
              <w:rPr>
                <w:rFonts w:ascii="宋体" w:hAnsi="宋体" w:cs="宋体"/>
                <w:sz w:val="24"/>
              </w:rPr>
            </w:r>
            <w:r/>
          </w:p>
          <w:p>
            <w:pPr>
              <w:pStyle w:val="895"/>
              <w:jc w:val="left"/>
              <w:spacing w:line="360" w:lineRule="auto"/>
              <w:tabs>
                <w:tab w:val="left" w:pos="631" w:leader="none"/>
                <w:tab w:val="left" w:pos="1891" w:leader="none"/>
                <w:tab w:val="left" w:pos="9394" w:leader="none"/>
              </w:tabs>
              <w:rPr>
                <w:rFonts w:ascii="宋体" w:hAnsi="宋体" w:cs="宋体"/>
                <w:sz w:val="24"/>
              </w:rPr>
            </w:pPr>
            <w:r>
              <w:rPr>
                <w:rFonts w:hint="eastAsia" w:ascii="宋体" w:hAnsi="宋体" w:cs="宋体"/>
                <w:sz w:val="24"/>
                <w:szCs w:val="21"/>
              </w:rPr>
              <w:t xml:space="preserve">8、车身外表颜色为白色，贴红色彩条，按苏卫医2014〔65〕号文件《关于进一步规范全省救护车使用管理的通知》要求制作。</w:t>
            </w:r>
            <w:r>
              <w:rPr>
                <w:rFonts w:ascii="宋体" w:hAnsi="宋体" w:cs="宋体"/>
                <w:sz w:val="24"/>
              </w:rPr>
            </w:r>
            <w:r/>
          </w:p>
          <w:p>
            <w:pPr>
              <w:pStyle w:val="895"/>
              <w:jc w:val="left"/>
              <w:spacing w:line="360" w:lineRule="auto"/>
              <w:tabs>
                <w:tab w:val="left" w:pos="631" w:leader="none"/>
                <w:tab w:val="left" w:pos="1891" w:leader="none"/>
                <w:tab w:val="left" w:pos="9394" w:leader="none"/>
              </w:tabs>
              <w:rPr>
                <w:rFonts w:hint="eastAsia" w:ascii="宋体" w:hAnsi="宋体" w:cs="宋体"/>
                <w:sz w:val="24"/>
                <w:szCs w:val="21"/>
              </w:rPr>
            </w:pPr>
            <w:r>
              <w:rPr>
                <w:rFonts w:hint="eastAsia" w:ascii="宋体" w:hAnsi="宋体" w:cs="宋体"/>
                <w:sz w:val="24"/>
                <w:szCs w:val="21"/>
              </w:rPr>
            </w:r>
            <w:r/>
          </w:p>
          <w:p>
            <w:pPr>
              <w:pStyle w:val="895"/>
              <w:jc w:val="left"/>
              <w:spacing w:line="360" w:lineRule="auto"/>
              <w:tabs>
                <w:tab w:val="left" w:pos="631" w:leader="none"/>
                <w:tab w:val="left" w:pos="1891" w:leader="none"/>
                <w:tab w:val="left" w:pos="9394" w:leader="none"/>
              </w:tabs>
              <w:rPr>
                <w:rFonts w:hint="eastAsia" w:ascii="宋体" w:hAnsi="宋体" w:cs="宋体"/>
                <w:sz w:val="24"/>
                <w:szCs w:val="21"/>
              </w:rPr>
            </w:pPr>
            <w:r>
              <w:rPr>
                <w:rFonts w:hint="eastAsia" w:ascii="宋体" w:hAnsi="宋体" w:cs="宋体"/>
                <w:sz w:val="24"/>
                <w:szCs w:val="21"/>
              </w:rPr>
            </w:r>
            <w:r/>
          </w:p>
          <w:p>
            <w:pPr>
              <w:pStyle w:val="895"/>
              <w:jc w:val="left"/>
              <w:spacing w:line="360" w:lineRule="auto"/>
              <w:tabs>
                <w:tab w:val="left" w:pos="631" w:leader="none"/>
                <w:tab w:val="left" w:pos="1891" w:leader="none"/>
                <w:tab w:val="left" w:pos="9394" w:leader="none"/>
              </w:tabs>
              <w:rPr>
                <w:rFonts w:ascii="宋体" w:hAnsi="宋体" w:cs="宋体"/>
                <w:color w:val="000000"/>
                <w:sz w:val="24"/>
              </w:rPr>
            </w:pPr>
            <w:r>
              <w:rPr>
                <w:rFonts w:ascii="宋体" w:hAnsi="宋体" w:cs="宋体"/>
                <w:color w:val="000000"/>
                <w:sz w:val="24"/>
              </w:rPr>
            </w:r>
            <w:r/>
          </w:p>
        </w:tc>
      </w:tr>
      <w:tr>
        <w:trPr/>
        <w:tc>
          <w:tcPr>
            <w:tcW w:w="966" w:type="dxa"/>
            <w:vAlign w:val="center"/>
            <w:textDirection w:val="lrTb"/>
            <w:noWrap w:val="false"/>
          </w:tcPr>
          <w:p>
            <w:pPr>
              <w:pStyle w:val="895"/>
              <w:jc w:val="center"/>
              <w:spacing w:line="360" w:lineRule="auto"/>
              <w:widowControl/>
              <w:rPr>
                <w:rFonts w:hint="eastAsia" w:ascii="宋体" w:hAnsi="宋体" w:cs="宋体"/>
                <w:b/>
                <w:bCs/>
                <w:sz w:val="24"/>
              </w:rPr>
            </w:pPr>
            <w:r>
              <w:rPr>
                <w:rFonts w:hint="eastAsia" w:ascii="宋体" w:hAnsi="宋体" w:cs="宋体"/>
                <w:b/>
                <w:bCs/>
                <w:sz w:val="24"/>
              </w:rPr>
              <w:t xml:space="preserve">二</w:t>
            </w:r>
            <w:r>
              <w:rPr>
                <w:rFonts w:hint="eastAsia" w:ascii="宋体" w:hAnsi="宋体" w:cs="宋体"/>
                <w:b/>
                <w:bCs/>
                <w:sz w:val="24"/>
              </w:rPr>
            </w:r>
            <w:r/>
          </w:p>
        </w:tc>
        <w:tc>
          <w:tcPr>
            <w:tcW w:w="1138" w:type="dxa"/>
            <w:vAlign w:val="center"/>
            <w:textDirection w:val="lrTb"/>
            <w:noWrap w:val="false"/>
          </w:tcPr>
          <w:p>
            <w:pPr>
              <w:pStyle w:val="895"/>
              <w:jc w:val="center"/>
              <w:spacing w:line="360" w:lineRule="auto"/>
              <w:widowControl/>
              <w:rPr>
                <w:rFonts w:hint="eastAsia" w:ascii="宋体" w:hAnsi="宋体" w:cs="宋体"/>
                <w:b/>
                <w:bCs/>
                <w:sz w:val="24"/>
              </w:rPr>
            </w:pPr>
            <w:r>
              <w:rPr>
                <w:rFonts w:hint="eastAsia" w:ascii="宋体" w:hAnsi="宋体" w:cs="宋体"/>
                <w:b/>
                <w:bCs/>
                <w:sz w:val="24"/>
              </w:rPr>
              <w:t xml:space="preserve">医疗舱内饰</w:t>
            </w:r>
            <w:r>
              <w:rPr>
                <w:rFonts w:hint="eastAsia" w:ascii="宋体" w:hAnsi="宋体" w:cs="宋体"/>
                <w:b/>
                <w:bCs/>
                <w:sz w:val="24"/>
              </w:rPr>
            </w:r>
            <w:r/>
          </w:p>
        </w:tc>
        <w:tc>
          <w:tcPr>
            <w:tcW w:w="891" w:type="dxa"/>
            <w:vAlign w:val="center"/>
            <w:textDirection w:val="lrTb"/>
            <w:noWrap w:val="false"/>
          </w:tcPr>
          <w:p>
            <w:pPr>
              <w:pStyle w:val="895"/>
              <w:jc w:val="center"/>
              <w:spacing w:line="360" w:lineRule="auto"/>
              <w:widowControl/>
              <w:rPr>
                <w:rFonts w:hint="eastAsia" w:ascii="宋体" w:hAnsi="宋体" w:cs="宋体"/>
                <w:sz w:val="24"/>
                <w:szCs w:val="21"/>
              </w:rPr>
            </w:pPr>
            <w:r>
              <w:rPr>
                <w:rFonts w:hint="eastAsia" w:ascii="宋体" w:hAnsi="宋体" w:cs="宋体"/>
                <w:sz w:val="24"/>
                <w:szCs w:val="21"/>
              </w:rPr>
            </w:r>
            <w:r/>
          </w:p>
        </w:tc>
        <w:tc>
          <w:tcPr>
            <w:tcW w:w="5713" w:type="dxa"/>
            <w:vAlign w:val="center"/>
            <w:textDirection w:val="lrTb"/>
            <w:noWrap w:val="false"/>
          </w:tcPr>
          <w:p>
            <w:pPr>
              <w:pStyle w:val="895"/>
              <w:jc w:val="left"/>
              <w:spacing w:line="360" w:lineRule="auto"/>
              <w:widowControl/>
              <w:rPr>
                <w:rFonts w:hint="eastAsia" w:ascii="宋体" w:hAnsi="宋体" w:cs="宋体"/>
                <w:sz w:val="24"/>
              </w:rPr>
            </w:pPr>
            <w:r>
              <w:rPr>
                <w:rFonts w:hint="eastAsia" w:ascii="宋体" w:hAnsi="宋体" w:cs="宋体"/>
                <w:sz w:val="24"/>
              </w:rPr>
              <w:t xml:space="preserve">1、医疗舱内饰材料及装饰材料的防火性能应符合</w:t>
            </w:r>
            <w:r>
              <w:rPr>
                <w:rFonts w:ascii="宋体" w:hAnsi="宋体"/>
                <w:sz w:val="24"/>
              </w:rPr>
              <w:t xml:space="preserve">GB8410</w:t>
            </w:r>
            <w:r>
              <w:rPr>
                <w:rFonts w:hint="eastAsia" w:ascii="宋体" w:hAnsi="宋体" w:cs="宋体"/>
                <w:sz w:val="24"/>
              </w:rPr>
              <w:t xml:space="preserve">－</w:t>
            </w:r>
            <w:r>
              <w:rPr>
                <w:rFonts w:ascii="宋体" w:hAnsi="宋体"/>
                <w:sz w:val="24"/>
              </w:rPr>
              <w:t xml:space="preserve">2006</w:t>
            </w:r>
            <w:r>
              <w:rPr>
                <w:rFonts w:hint="eastAsia" w:ascii="宋体" w:hAnsi="宋体" w:cs="宋体"/>
                <w:sz w:val="24"/>
              </w:rPr>
              <w:t xml:space="preserve">《汽车内饰材料的燃烧特性》的要求。</w:t>
            </w:r>
            <w:r>
              <w:rPr>
                <w:rFonts w:hint="eastAsia" w:ascii="宋体" w:hAnsi="宋体" w:cs="宋体"/>
                <w:sz w:val="24"/>
              </w:rPr>
            </w:r>
            <w:r/>
          </w:p>
          <w:p>
            <w:pPr>
              <w:pStyle w:val="895"/>
              <w:jc w:val="left"/>
              <w:spacing w:line="360" w:lineRule="auto"/>
              <w:widowControl/>
              <w:rPr>
                <w:rFonts w:hint="eastAsia" w:ascii="宋体" w:hAnsi="宋体" w:cs="宋体"/>
                <w:sz w:val="24"/>
              </w:rPr>
            </w:pPr>
            <w:r>
              <w:rPr>
                <w:rFonts w:hint="eastAsia" w:ascii="宋体" w:hAnsi="宋体" w:cs="宋体"/>
                <w:sz w:val="24"/>
              </w:rPr>
              <w:t xml:space="preserve">2、医疗舱内饰（顶、左侧、右侧、中隔板等覆盖件）材料应全部采用ABS复合材料模具</w:t>
            </w:r>
            <w:r>
              <w:rPr>
                <w:rFonts w:hint="eastAsia" w:ascii="宋体" w:hAnsi="宋体"/>
                <w:sz w:val="24"/>
              </w:rPr>
              <w:t xml:space="preserve">一次</w:t>
            </w:r>
            <w:r>
              <w:rPr>
                <w:rFonts w:hint="eastAsia" w:ascii="宋体" w:hAnsi="宋体" w:cs="宋体"/>
                <w:sz w:val="24"/>
              </w:rPr>
              <w:t xml:space="preserve">成型工艺，ABS复合材料应具有防霉、防菌、防静电、防潮、阻燃、易清洗、易消毒、高强度、抗老化、无异味、无毒、安全性强等优点。内饰件应无尖锐突出形状，周边应修光，连接应平滑，禁止使用板材拼接工艺，</w:t>
            </w:r>
            <w:r>
              <w:rPr>
                <w:rFonts w:hint="eastAsia" w:ascii="宋体" w:hAnsi="宋体" w:cs="宋体"/>
                <w:sz w:val="24"/>
              </w:rPr>
              <w:t xml:space="preserve">应</w:t>
            </w:r>
            <w:r>
              <w:rPr>
                <w:rFonts w:hint="eastAsia" w:ascii="宋体" w:hAnsi="宋体"/>
                <w:sz w:val="24"/>
              </w:rPr>
              <w:t xml:space="preserve">符合G</w:t>
            </w:r>
            <w:r>
              <w:rPr>
                <w:rFonts w:ascii="宋体" w:hAnsi="宋体"/>
                <w:sz w:val="24"/>
              </w:rPr>
              <w:t xml:space="preserve">B/T30512</w:t>
            </w:r>
            <w:r>
              <w:rPr>
                <w:rFonts w:hint="eastAsia" w:ascii="宋体" w:hAnsi="宋体"/>
                <w:sz w:val="24"/>
              </w:rPr>
              <w:t xml:space="preserve">《汽车禁用物质要求》的环保要求。</w:t>
            </w:r>
            <w:r>
              <w:rPr>
                <w:rFonts w:hint="eastAsia" w:ascii="宋体" w:hAnsi="宋体" w:cs="宋体"/>
                <w:sz w:val="24"/>
              </w:rPr>
            </w:r>
            <w:r/>
          </w:p>
          <w:p>
            <w:pPr>
              <w:pStyle w:val="895"/>
              <w:jc w:val="left"/>
              <w:spacing w:line="360" w:lineRule="auto"/>
              <w:widowControl/>
              <w:rPr>
                <w:rFonts w:ascii="宋体" w:hAnsi="宋体" w:cs="宋体"/>
                <w:sz w:val="24"/>
              </w:rPr>
            </w:pPr>
            <w:r>
              <w:rPr>
                <w:rFonts w:hint="eastAsia" w:ascii="宋体" w:hAnsi="宋体" w:cs="宋体"/>
                <w:sz w:val="24"/>
              </w:rPr>
              <w:t xml:space="preserve">3、医疗舱内饰及结构件安装必须与车身固定连接，并应形成具有良好密封性和保温性。</w:t>
            </w:r>
            <w:r>
              <w:rPr>
                <w:rFonts w:ascii="宋体" w:hAnsi="宋体" w:cs="宋体"/>
                <w:sz w:val="24"/>
              </w:rPr>
            </w:r>
            <w:r/>
          </w:p>
        </w:tc>
      </w:tr>
      <w:tr>
        <w:trPr/>
        <w:tc>
          <w:tcPr>
            <w:tcW w:w="966" w:type="dxa"/>
            <w:vAlign w:val="center"/>
            <w:textDirection w:val="lrTb"/>
            <w:noWrap w:val="false"/>
          </w:tcPr>
          <w:p>
            <w:pPr>
              <w:pStyle w:val="895"/>
              <w:jc w:val="center"/>
              <w:spacing w:line="360" w:lineRule="auto"/>
              <w:widowControl/>
              <w:rPr>
                <w:rFonts w:hint="eastAsia" w:ascii="宋体" w:hAnsi="宋体" w:cs="宋体"/>
                <w:sz w:val="24"/>
              </w:rPr>
            </w:pPr>
            <w:r>
              <w:rPr>
                <w:rFonts w:hint="eastAsia" w:ascii="宋体" w:hAnsi="宋体" w:cs="宋体"/>
                <w:b/>
                <w:bCs/>
                <w:sz w:val="24"/>
              </w:rPr>
              <w:t xml:space="preserve">三</w:t>
            </w:r>
            <w:r>
              <w:rPr>
                <w:rFonts w:hint="eastAsia" w:ascii="宋体" w:hAnsi="宋体" w:cs="宋体"/>
                <w:sz w:val="24"/>
              </w:rPr>
            </w:r>
            <w:r/>
          </w:p>
        </w:tc>
        <w:tc>
          <w:tcPr>
            <w:tcW w:w="1138" w:type="dxa"/>
            <w:vAlign w:val="center"/>
            <w:textDirection w:val="lrTb"/>
            <w:noWrap w:val="false"/>
          </w:tcPr>
          <w:p>
            <w:pPr>
              <w:pStyle w:val="895"/>
              <w:jc w:val="center"/>
              <w:spacing w:line="360" w:lineRule="auto"/>
              <w:widowControl/>
              <w:rPr>
                <w:rFonts w:hint="eastAsia" w:ascii="宋体" w:hAnsi="宋体" w:cs="宋体"/>
                <w:sz w:val="24"/>
              </w:rPr>
            </w:pPr>
            <w:r>
              <w:rPr>
                <w:rFonts w:hint="eastAsia" w:ascii="宋体" w:hAnsi="宋体" w:cs="宋体"/>
                <w:b/>
                <w:bCs/>
                <w:sz w:val="24"/>
              </w:rPr>
              <w:t xml:space="preserve">医疗舱结构系统</w:t>
            </w:r>
            <w:r>
              <w:rPr>
                <w:rFonts w:hint="eastAsia" w:ascii="宋体" w:hAnsi="宋体" w:cs="宋体"/>
                <w:sz w:val="24"/>
              </w:rPr>
            </w:r>
            <w:r/>
          </w:p>
        </w:tc>
        <w:tc>
          <w:tcPr>
            <w:tcW w:w="891" w:type="dxa"/>
            <w:vAlign w:val="center"/>
            <w:textDirection w:val="lrTb"/>
            <w:noWrap w:val="false"/>
          </w:tcPr>
          <w:p>
            <w:pPr>
              <w:pStyle w:val="895"/>
              <w:jc w:val="center"/>
              <w:spacing w:line="360" w:lineRule="auto"/>
              <w:widowControl/>
              <w:rPr>
                <w:rFonts w:ascii="宋体" w:hAnsi="宋体" w:cs="宋体"/>
                <w:sz w:val="24"/>
              </w:rPr>
            </w:pPr>
            <w:r>
              <w:rPr>
                <w:rFonts w:ascii="宋体" w:hAnsi="宋体" w:cs="宋体"/>
                <w:sz w:val="24"/>
              </w:rPr>
            </w:r>
            <w:r/>
          </w:p>
        </w:tc>
        <w:tc>
          <w:tcPr>
            <w:tcW w:w="5713" w:type="dxa"/>
            <w:vAlign w:val="center"/>
            <w:textDirection w:val="lrTb"/>
            <w:noWrap w:val="false"/>
          </w:tcPr>
          <w:p>
            <w:pPr>
              <w:pStyle w:val="895"/>
              <w:jc w:val="left"/>
              <w:spacing w:line="360" w:lineRule="auto"/>
              <w:widowControl/>
              <w:rPr>
                <w:rFonts w:hint="eastAsia" w:ascii="宋体" w:hAnsi="宋体"/>
                <w:sz w:val="24"/>
              </w:rPr>
            </w:pPr>
            <w:r>
              <w:rPr>
                <w:rFonts w:hint="eastAsia" w:ascii="宋体" w:hAnsi="宋体"/>
                <w:sz w:val="24"/>
              </w:rPr>
              <w:t xml:space="preserve">1、采用耐磨、耐酸、耐碱、阻燃、防滑、防霉、易清洗医疗专用塑胶地板。</w:t>
            </w:r>
            <w:r>
              <w:rPr>
                <w:rFonts w:hint="eastAsia" w:ascii="宋体" w:hAnsi="宋体"/>
                <w:sz w:val="24"/>
              </w:rPr>
            </w:r>
            <w:r/>
          </w:p>
          <w:p>
            <w:pPr>
              <w:pStyle w:val="895"/>
              <w:jc w:val="left"/>
              <w:spacing w:line="360" w:lineRule="auto"/>
              <w:widowControl/>
              <w:rPr>
                <w:rFonts w:hint="eastAsia" w:ascii="宋体" w:hAnsi="宋体"/>
                <w:sz w:val="24"/>
              </w:rPr>
            </w:pPr>
            <w:r>
              <w:rPr>
                <w:rFonts w:hint="eastAsia" w:ascii="宋体" w:hAnsi="宋体"/>
                <w:sz w:val="24"/>
              </w:rPr>
              <w:t xml:space="preserve">2、中隔墙能将驾驶舱和急救舱完全隔离，采用ABS材料模具一次成型工艺。中隔墙上配有可开启移动式透明推窗，推窗玻璃带有锁定装置。</w:t>
            </w:r>
            <w:r>
              <w:rPr>
                <w:rFonts w:hint="eastAsia" w:ascii="宋体" w:hAnsi="宋体"/>
                <w:sz w:val="24"/>
              </w:rPr>
            </w:r>
            <w:r/>
          </w:p>
          <w:p>
            <w:pPr>
              <w:pStyle w:val="895"/>
              <w:jc w:val="left"/>
              <w:spacing w:line="360" w:lineRule="auto"/>
              <w:widowControl/>
              <w:rPr>
                <w:rFonts w:hint="eastAsia" w:ascii="宋体" w:hAnsi="宋体"/>
                <w:sz w:val="24"/>
              </w:rPr>
            </w:pPr>
            <w:r>
              <w:rPr>
                <w:rFonts w:hint="eastAsia" w:ascii="宋体" w:hAnsi="宋体"/>
                <w:sz w:val="24"/>
              </w:rPr>
              <w:t xml:space="preserve">3、操作平台应位于</w:t>
            </w:r>
            <w:r>
              <w:rPr>
                <w:rFonts w:hint="eastAsia" w:ascii="宋体" w:hAnsi="宋体" w:cs="宋体"/>
                <w:sz w:val="24"/>
              </w:rPr>
              <w:t xml:space="preserve">医疗舱左侧</w:t>
            </w:r>
            <w:r>
              <w:rPr>
                <w:rFonts w:hint="eastAsia" w:ascii="宋体" w:hAnsi="宋体"/>
                <w:sz w:val="24"/>
              </w:rPr>
              <w:t xml:space="preserve">，采用ABS材料模具一次成型工艺。操作平台下面为电器柜及医疗器械柜，可根据用户实际要求布置。</w:t>
            </w:r>
            <w:r>
              <w:rPr>
                <w:rFonts w:hint="eastAsia" w:ascii="宋体" w:hAnsi="宋体"/>
                <w:sz w:val="24"/>
              </w:rPr>
            </w:r>
            <w:r/>
          </w:p>
          <w:p>
            <w:pPr>
              <w:pStyle w:val="895"/>
              <w:jc w:val="left"/>
              <w:spacing w:line="360" w:lineRule="auto"/>
              <w:widowControl/>
              <w:rPr>
                <w:rFonts w:hint="eastAsia" w:ascii="宋体" w:hAnsi="宋体" w:cs="宋体"/>
                <w:sz w:val="24"/>
              </w:rPr>
            </w:pPr>
            <w:r>
              <w:rPr>
                <w:rFonts w:hint="eastAsia" w:ascii="宋体" w:hAnsi="宋体"/>
                <w:sz w:val="24"/>
              </w:rPr>
              <w:t xml:space="preserve">4、</w:t>
            </w:r>
            <w:r>
              <w:rPr>
                <w:rFonts w:hint="eastAsia" w:ascii="宋体" w:hAnsi="宋体" w:cs="宋体"/>
                <w:sz w:val="24"/>
              </w:rPr>
              <w:t xml:space="preserve">药品柜可分别放置一次性耗材、注射用品、外伤包扎用品、隔离防护用品、插管箱、按压泵、软担架、呼吸机、心电图机、除颤仪等急救药械，应采用ABS复合材料与高分子板材相结合制作而成，不吸水、易清洗，边角均应采用圆角过度，封边及接口处不可有触手感。药品器械柜的布置要便于医护人员的操作。</w:t>
            </w:r>
            <w:r>
              <w:rPr>
                <w:rFonts w:hint="eastAsia" w:ascii="宋体" w:hAnsi="宋体" w:cs="宋体"/>
                <w:sz w:val="24"/>
              </w:rPr>
            </w:r>
            <w:r/>
          </w:p>
          <w:p>
            <w:pPr>
              <w:pStyle w:val="895"/>
              <w:jc w:val="left"/>
              <w:spacing w:line="360" w:lineRule="auto"/>
              <w:widowControl/>
              <w:rPr>
                <w:rFonts w:hint="eastAsia" w:ascii="宋体" w:hAnsi="宋体"/>
                <w:sz w:val="24"/>
              </w:rPr>
            </w:pPr>
            <w:r>
              <w:rPr>
                <w:rFonts w:hint="eastAsia" w:ascii="宋体" w:hAnsi="宋体" w:cs="宋体"/>
                <w:sz w:val="24"/>
              </w:rPr>
              <w:t xml:space="preserve">5</w:t>
            </w:r>
            <w:r>
              <w:rPr>
                <w:rFonts w:hint="eastAsia" w:ascii="宋体" w:hAnsi="宋体"/>
                <w:sz w:val="24"/>
              </w:rPr>
              <w:t xml:space="preserve">、每车至少配备6个辅料柜，辅料柜应位于医疗舱顶部两侧以及中隔墙上方，可分别放置一次性床单、外伤包扎用品、隔离防护用品、插管等辅料。</w:t>
            </w:r>
            <w:r>
              <w:rPr>
                <w:rFonts w:hint="eastAsia" w:ascii="宋体" w:hAnsi="宋体"/>
                <w:sz w:val="24"/>
              </w:rPr>
            </w:r>
            <w:r/>
          </w:p>
          <w:p>
            <w:pPr>
              <w:pStyle w:val="895"/>
              <w:jc w:val="left"/>
              <w:spacing w:line="360" w:lineRule="auto"/>
              <w:widowControl/>
              <w:rPr>
                <w:rFonts w:hint="eastAsia" w:ascii="宋体" w:hAnsi="宋体"/>
                <w:sz w:val="24"/>
              </w:rPr>
            </w:pPr>
            <w:r>
              <w:rPr>
                <w:rFonts w:hint="eastAsia" w:ascii="宋体" w:hAnsi="宋体"/>
                <w:sz w:val="24"/>
              </w:rPr>
              <w:t xml:space="preserve">6、器械平台应位于左侧中部，应按照招标方提供的设备及安装要求放置监护仪、心电图机、呼吸机、除颤仪等急救设备，安装牢固，便于医护人员的观察和操作。</w:t>
            </w:r>
            <w:r>
              <w:rPr>
                <w:rFonts w:hint="eastAsia" w:ascii="宋体" w:hAnsi="宋体"/>
                <w:sz w:val="24"/>
              </w:rPr>
            </w:r>
            <w:r/>
          </w:p>
          <w:p>
            <w:pPr>
              <w:pStyle w:val="895"/>
              <w:jc w:val="left"/>
              <w:spacing w:line="360" w:lineRule="auto"/>
              <w:widowControl/>
              <w:rPr>
                <w:rFonts w:hint="eastAsia" w:ascii="宋体" w:hAnsi="宋体"/>
                <w:sz w:val="24"/>
              </w:rPr>
            </w:pPr>
            <w:r>
              <w:rPr>
                <w:rFonts w:hint="eastAsia" w:ascii="宋体" w:hAnsi="宋体"/>
                <w:sz w:val="24"/>
              </w:rPr>
              <w:t xml:space="preserve">7、医生椅应位于医疗舱右侧柜式床前方，医生椅的固定应符合GB15083汽车座椅、座椅固定装置及头枕强度要求。</w:t>
            </w:r>
            <w:r>
              <w:rPr>
                <w:rFonts w:hint="eastAsia" w:ascii="宋体" w:hAnsi="宋体" w:cs="宋体"/>
                <w:sz w:val="24"/>
              </w:rPr>
              <w:t xml:space="preserve">医生椅的座垫、靠背应采用</w:t>
            </w:r>
            <w:r>
              <w:rPr>
                <w:rFonts w:hint="eastAsia" w:ascii="宋体" w:hAnsi="宋体" w:cs="宋体"/>
                <w:sz w:val="24"/>
              </w:rPr>
              <w:t xml:space="preserve">自吸皮整体发泡工艺</w:t>
            </w:r>
            <w:r>
              <w:rPr>
                <w:rFonts w:hint="eastAsia" w:ascii="宋体" w:hAnsi="宋体"/>
                <w:sz w:val="24"/>
              </w:rPr>
              <w:t xml:space="preserve">，表面不应有拼接线缝，并便于冲洗消毒。</w:t>
            </w:r>
            <w:r>
              <w:rPr>
                <w:rFonts w:hint="eastAsia" w:ascii="宋体" w:hAnsi="宋体"/>
                <w:sz w:val="24"/>
              </w:rPr>
            </w:r>
            <w:r/>
          </w:p>
          <w:p>
            <w:pPr>
              <w:pStyle w:val="895"/>
              <w:jc w:val="left"/>
              <w:spacing w:line="360" w:lineRule="auto"/>
              <w:widowControl/>
              <w:rPr>
                <w:rFonts w:hint="eastAsia" w:ascii="宋体" w:hAnsi="宋体" w:cs="宋体"/>
                <w:sz w:val="24"/>
              </w:rPr>
            </w:pPr>
            <w:r>
              <w:rPr>
                <w:rFonts w:hint="eastAsia" w:ascii="宋体" w:hAnsi="宋体"/>
                <w:sz w:val="24"/>
              </w:rPr>
              <w:t xml:space="preserve">8、</w:t>
            </w:r>
            <w:r>
              <w:rPr>
                <w:rFonts w:hint="eastAsia" w:ascii="宋体" w:hAnsi="宋体" w:cs="宋体"/>
                <w:sz w:val="24"/>
              </w:rPr>
              <w:t xml:space="preserve">柜式床应采用ABS复合材料模具</w:t>
            </w:r>
            <w:r>
              <w:rPr>
                <w:rFonts w:hint="eastAsia" w:ascii="宋体" w:hAnsi="宋体"/>
                <w:sz w:val="24"/>
              </w:rPr>
              <w:t xml:space="preserve">一次</w:t>
            </w:r>
            <w:r>
              <w:rPr>
                <w:rFonts w:hint="eastAsia" w:ascii="宋体" w:hAnsi="宋体" w:cs="宋体"/>
                <w:sz w:val="24"/>
              </w:rPr>
              <w:t xml:space="preserve">成型工艺，可坐二人（带安全带），座垫下方两侧空间可做工具箱。座椅的座垫、靠背表面无拼接线缝，并便于冲洗消毒，安全带装配牢固、耐用、可靠。</w:t>
            </w:r>
            <w:r>
              <w:rPr>
                <w:rFonts w:hint="eastAsia" w:ascii="宋体" w:hAnsi="宋体" w:cs="宋体"/>
                <w:sz w:val="24"/>
              </w:rPr>
            </w:r>
            <w:r/>
          </w:p>
          <w:p>
            <w:pPr>
              <w:pStyle w:val="895"/>
              <w:jc w:val="left"/>
              <w:spacing w:line="360" w:lineRule="auto"/>
              <w:widowControl/>
              <w:rPr>
                <w:rFonts w:hint="eastAsia" w:ascii="宋体" w:hAnsi="宋体" w:cs="宋体"/>
                <w:sz w:val="24"/>
              </w:rPr>
            </w:pPr>
            <w:r>
              <w:rPr>
                <w:rFonts w:hint="eastAsia" w:ascii="宋体" w:hAnsi="宋体" w:cs="宋体"/>
                <w:sz w:val="24"/>
              </w:rPr>
              <w:t xml:space="preserve">9</w:t>
            </w:r>
            <w:r>
              <w:rPr>
                <w:rFonts w:hint="eastAsia" w:ascii="宋体" w:hAnsi="宋体"/>
                <w:sz w:val="24"/>
              </w:rPr>
              <w:t xml:space="preserve">、</w:t>
            </w:r>
            <w:r>
              <w:rPr>
                <w:rFonts w:hint="eastAsia" w:ascii="宋体" w:hAnsi="宋体" w:cs="宋体"/>
                <w:sz w:val="24"/>
              </w:rPr>
              <w:t xml:space="preserve">氧气瓶柜应采用ABS复合材料模具</w:t>
            </w:r>
            <w:r>
              <w:rPr>
                <w:rFonts w:hint="eastAsia" w:ascii="宋体" w:hAnsi="宋体"/>
                <w:sz w:val="24"/>
              </w:rPr>
              <w:t xml:space="preserve">一次</w:t>
            </w:r>
            <w:r>
              <w:rPr>
                <w:rFonts w:hint="eastAsia" w:ascii="宋体" w:hAnsi="宋体" w:cs="宋体"/>
                <w:sz w:val="24"/>
              </w:rPr>
              <w:t xml:space="preserve">成型工艺，位于医疗舱左侧后部，操作方便，并可放置2个10升氧气瓶的空间。</w:t>
            </w:r>
            <w:r>
              <w:rPr>
                <w:rFonts w:hint="eastAsia" w:ascii="宋体" w:hAnsi="宋体" w:cs="宋体"/>
                <w:sz w:val="24"/>
              </w:rPr>
            </w:r>
            <w:r/>
          </w:p>
          <w:p>
            <w:pPr>
              <w:pStyle w:val="895"/>
              <w:jc w:val="left"/>
              <w:spacing w:line="360" w:lineRule="auto"/>
              <w:widowControl/>
              <w:rPr>
                <w:rFonts w:hint="eastAsia" w:ascii="宋体" w:hAnsi="宋体" w:cs="宋体"/>
                <w:sz w:val="24"/>
              </w:rPr>
            </w:pPr>
            <w:r>
              <w:rPr>
                <w:rFonts w:hint="eastAsia" w:ascii="宋体" w:hAnsi="宋体" w:cs="宋体"/>
                <w:sz w:val="24"/>
              </w:rPr>
              <w:t xml:space="preserve">10</w:t>
            </w:r>
            <w:r>
              <w:rPr>
                <w:rFonts w:hint="eastAsia" w:ascii="宋体" w:hAnsi="宋体"/>
                <w:sz w:val="24"/>
              </w:rPr>
              <w:t xml:space="preserve">、</w:t>
            </w:r>
            <w:r>
              <w:rPr>
                <w:rFonts w:hint="eastAsia" w:ascii="宋体" w:hAnsi="宋体" w:cs="宋体"/>
                <w:sz w:val="24"/>
              </w:rPr>
              <w:t xml:space="preserve">集成内顶应集成照明、储物、杀菌、输液、全方位扶手等功能与一体，采用ABS复合材料模具</w:t>
            </w:r>
            <w:r>
              <w:rPr>
                <w:rFonts w:hint="eastAsia" w:ascii="宋体" w:hAnsi="宋体"/>
                <w:sz w:val="24"/>
              </w:rPr>
              <w:t xml:space="preserve">一次</w:t>
            </w:r>
            <w:r>
              <w:rPr>
                <w:rFonts w:hint="eastAsia" w:ascii="宋体" w:hAnsi="宋体" w:cs="宋体"/>
                <w:sz w:val="24"/>
              </w:rPr>
              <w:t xml:space="preserve">成型工艺，其设计合理方便医护人员开展抢救工作。</w:t>
            </w:r>
            <w:r>
              <w:rPr>
                <w:rFonts w:hint="eastAsia" w:ascii="宋体" w:hAnsi="宋体" w:cs="宋体"/>
                <w:sz w:val="24"/>
              </w:rPr>
            </w:r>
            <w:r/>
          </w:p>
          <w:p>
            <w:pPr>
              <w:pStyle w:val="895"/>
              <w:jc w:val="left"/>
              <w:spacing w:line="360" w:lineRule="auto"/>
              <w:widowControl/>
              <w:rPr>
                <w:rFonts w:hint="eastAsia" w:ascii="宋体" w:hAnsi="宋体"/>
                <w:sz w:val="24"/>
              </w:rPr>
            </w:pPr>
            <w:r>
              <w:rPr>
                <w:rFonts w:hint="eastAsia" w:ascii="宋体" w:hAnsi="宋体" w:cs="宋体"/>
                <w:sz w:val="24"/>
              </w:rPr>
              <w:t xml:space="preserve">11</w:t>
            </w:r>
            <w:r>
              <w:rPr>
                <w:rFonts w:hint="eastAsia" w:ascii="宋体" w:hAnsi="宋体"/>
                <w:sz w:val="24"/>
              </w:rPr>
              <w:t xml:space="preserve">、在不影响医护人员急救工作且方便操作的位置应配有免洗消毒液固定装置、污物桶。</w:t>
            </w:r>
            <w:r>
              <w:rPr>
                <w:rFonts w:hint="eastAsia" w:ascii="宋体" w:hAnsi="宋体"/>
                <w:sz w:val="24"/>
              </w:rPr>
            </w:r>
            <w:r/>
          </w:p>
          <w:p>
            <w:pPr>
              <w:pStyle w:val="895"/>
              <w:jc w:val="left"/>
              <w:spacing w:line="360" w:lineRule="auto"/>
              <w:widowControl/>
              <w:rPr>
                <w:rFonts w:ascii="宋体" w:hAnsi="宋体"/>
                <w:sz w:val="24"/>
              </w:rPr>
            </w:pPr>
            <w:r>
              <w:rPr>
                <w:rFonts w:hint="eastAsia" w:ascii="宋体" w:hAnsi="宋体"/>
                <w:sz w:val="24"/>
              </w:rPr>
              <w:t xml:space="preserve">12、</w:t>
            </w:r>
            <w:r>
              <w:rPr>
                <w:rFonts w:ascii="宋体" w:hAnsi="宋体"/>
                <w:sz w:val="24"/>
              </w:rPr>
              <w:t xml:space="preserve">医疗舱</w:t>
            </w:r>
            <w:r>
              <w:rPr>
                <w:rFonts w:hint="eastAsia" w:ascii="宋体" w:hAnsi="宋体"/>
                <w:sz w:val="24"/>
              </w:rPr>
              <w:t xml:space="preserve">至少配备1个</w:t>
            </w:r>
            <w:r>
              <w:rPr>
                <w:rFonts w:ascii="宋体" w:hAnsi="宋体"/>
                <w:sz w:val="24"/>
              </w:rPr>
              <w:t xml:space="preserve">可开启</w:t>
            </w:r>
            <w:r>
              <w:rPr>
                <w:rFonts w:hint="eastAsia" w:ascii="宋体" w:hAnsi="宋体"/>
                <w:sz w:val="24"/>
              </w:rPr>
              <w:t xml:space="preserve">车窗，</w:t>
            </w:r>
            <w:r>
              <w:rPr>
                <w:rFonts w:ascii="宋体" w:hAnsi="宋体"/>
                <w:sz w:val="24"/>
              </w:rPr>
              <w:t xml:space="preserve">车窗材料符合车辆有关规定。</w:t>
            </w:r>
            <w:r>
              <w:rPr>
                <w:rFonts w:ascii="宋体" w:hAnsi="宋体"/>
                <w:sz w:val="24"/>
              </w:rPr>
            </w:r>
            <w:r/>
          </w:p>
          <w:p>
            <w:pPr>
              <w:pStyle w:val="895"/>
              <w:jc w:val="left"/>
              <w:spacing w:line="360" w:lineRule="auto"/>
              <w:widowControl/>
              <w:rPr>
                <w:rFonts w:ascii="宋体" w:hAnsi="宋体"/>
                <w:sz w:val="24"/>
              </w:rPr>
            </w:pPr>
            <w:r>
              <w:rPr>
                <w:rFonts w:hint="eastAsia" w:ascii="宋体" w:hAnsi="宋体"/>
                <w:sz w:val="24"/>
              </w:rPr>
              <w:t xml:space="preserve">13、</w:t>
            </w:r>
            <w:r>
              <w:rPr>
                <w:rFonts w:ascii="宋体" w:hAnsi="宋体"/>
                <w:sz w:val="24"/>
              </w:rPr>
              <w:t xml:space="preserve">医疗舱</w:t>
            </w:r>
            <w:r>
              <w:rPr>
                <w:rFonts w:hint="eastAsia" w:ascii="宋体" w:hAnsi="宋体" w:cs="宋体"/>
                <w:sz w:val="24"/>
              </w:rPr>
              <w:t xml:space="preserve">的上、下车门处、顶部应安装扶手，确保人员安全。</w:t>
            </w:r>
            <w:r>
              <w:rPr>
                <w:rFonts w:ascii="宋体" w:hAnsi="宋体"/>
                <w:sz w:val="24"/>
              </w:rPr>
            </w:r>
            <w:r/>
          </w:p>
        </w:tc>
      </w:tr>
      <w:tr>
        <w:trPr/>
        <w:tc>
          <w:tcPr>
            <w:tcW w:w="966" w:type="dxa"/>
            <w:vAlign w:val="center"/>
            <w:textDirection w:val="lrTb"/>
            <w:noWrap w:val="false"/>
          </w:tcPr>
          <w:p>
            <w:pPr>
              <w:pStyle w:val="895"/>
              <w:jc w:val="center"/>
              <w:spacing w:line="360" w:lineRule="auto"/>
              <w:widowControl/>
              <w:rPr>
                <w:rFonts w:hint="eastAsia" w:ascii="宋体" w:hAnsi="宋体" w:cs="宋体"/>
                <w:b/>
                <w:bCs/>
                <w:sz w:val="24"/>
              </w:rPr>
            </w:pPr>
            <w:r>
              <w:rPr>
                <w:rFonts w:hint="eastAsia" w:ascii="宋体" w:hAnsi="宋体" w:cs="Arial"/>
                <w:b/>
                <w:bCs/>
                <w:sz w:val="24"/>
              </w:rPr>
              <w:t xml:space="preserve">四</w:t>
            </w:r>
            <w:r>
              <w:rPr>
                <w:rFonts w:hint="eastAsia" w:ascii="宋体" w:hAnsi="宋体" w:cs="宋体"/>
                <w:b/>
                <w:bCs/>
                <w:sz w:val="24"/>
              </w:rPr>
            </w:r>
            <w:r/>
          </w:p>
        </w:tc>
        <w:tc>
          <w:tcPr>
            <w:tcW w:w="1138" w:type="dxa"/>
            <w:vAlign w:val="center"/>
            <w:textDirection w:val="lrTb"/>
            <w:noWrap w:val="false"/>
          </w:tcPr>
          <w:p>
            <w:pPr>
              <w:pStyle w:val="895"/>
              <w:jc w:val="center"/>
              <w:spacing w:line="360" w:lineRule="auto"/>
              <w:widowControl/>
              <w:rPr>
                <w:rFonts w:ascii="宋体" w:hAnsi="宋体" w:cs="宋体"/>
                <w:b/>
                <w:bCs/>
                <w:sz w:val="24"/>
              </w:rPr>
            </w:pPr>
            <w:r>
              <w:rPr>
                <w:rFonts w:hint="eastAsia" w:ascii="宋体" w:hAnsi="宋体"/>
                <w:b/>
                <w:bCs/>
                <w:sz w:val="24"/>
              </w:rPr>
              <w:t xml:space="preserve">电控系统</w:t>
            </w:r>
            <w:r>
              <w:rPr>
                <w:rFonts w:ascii="宋体" w:hAnsi="宋体" w:cs="宋体"/>
                <w:b/>
                <w:bCs/>
                <w:sz w:val="24"/>
              </w:rPr>
            </w:r>
            <w:r/>
          </w:p>
        </w:tc>
        <w:tc>
          <w:tcPr>
            <w:tcW w:w="891" w:type="dxa"/>
            <w:vAlign w:val="center"/>
            <w:textDirection w:val="lrTb"/>
            <w:noWrap w:val="false"/>
          </w:tcPr>
          <w:p>
            <w:pPr>
              <w:pStyle w:val="895"/>
              <w:jc w:val="center"/>
              <w:spacing w:line="360" w:lineRule="auto"/>
              <w:widowControl/>
              <w:rPr>
                <w:rFonts w:ascii="宋体" w:hAnsi="宋体"/>
                <w:sz w:val="24"/>
              </w:rPr>
            </w:pPr>
            <w:r>
              <w:rPr>
                <w:rFonts w:ascii="宋体" w:hAnsi="宋体"/>
                <w:sz w:val="24"/>
              </w:rPr>
            </w:r>
            <w:r/>
          </w:p>
        </w:tc>
        <w:tc>
          <w:tcPr>
            <w:tcW w:w="5713" w:type="dxa"/>
            <w:vAlign w:val="center"/>
            <w:textDirection w:val="lrTb"/>
            <w:noWrap w:val="false"/>
          </w:tcPr>
          <w:p>
            <w:pPr>
              <w:pStyle w:val="895"/>
              <w:jc w:val="left"/>
              <w:spacing w:line="360" w:lineRule="auto"/>
              <w:widowControl/>
              <w:rPr>
                <w:rFonts w:hint="eastAsia" w:ascii="宋体" w:hAnsi="宋体" w:cs="宋体"/>
                <w:sz w:val="24"/>
              </w:rPr>
            </w:pPr>
            <w:r>
              <w:rPr>
                <w:rFonts w:hint="eastAsia" w:ascii="宋体" w:hAnsi="宋体" w:cs="宋体"/>
                <w:sz w:val="24"/>
              </w:rPr>
              <w:t xml:space="preserve">★1、</w:t>
            </w:r>
            <w:r>
              <w:rPr>
                <w:rFonts w:hint="eastAsia" w:ascii="宋体" w:hAnsi="宋体"/>
                <w:sz w:val="24"/>
              </w:rPr>
              <w:t xml:space="preserve">应</w:t>
            </w:r>
            <w:r>
              <w:rPr>
                <w:rFonts w:hint="eastAsia" w:ascii="宋体" w:hAnsi="宋体" w:cs="宋体"/>
                <w:sz w:val="24"/>
              </w:rPr>
              <w:t xml:space="preserve">采用集成电路控制系统，高清液晶屏显示，防水薄膜开关操作，且电瓶电量、工作灯状态、排风状态等相关用电设备的工作状态能够在液晶屏上显示，工作人员能够直观的掌握用电设备的工作状态和及时发现故障。</w:t>
            </w:r>
            <w:r>
              <w:rPr>
                <w:rFonts w:hint="eastAsia" w:ascii="宋体" w:hAnsi="宋体" w:cs="宋体"/>
                <w:sz w:val="24"/>
              </w:rPr>
            </w:r>
            <w:r/>
          </w:p>
          <w:p>
            <w:pPr>
              <w:pStyle w:val="895"/>
              <w:jc w:val="left"/>
              <w:spacing w:line="360" w:lineRule="auto"/>
              <w:widowControl/>
              <w:rPr>
                <w:rFonts w:ascii="宋体" w:hAnsi="宋体" w:cs="宋体"/>
                <w:sz w:val="24"/>
              </w:rPr>
            </w:pPr>
            <w:r>
              <w:rPr>
                <w:rFonts w:hint="eastAsia" w:ascii="宋体" w:hAnsi="宋体" w:cs="宋体"/>
                <w:sz w:val="24"/>
              </w:rPr>
              <w:t xml:space="preserve">2、应配备汽车专用电瓶，容量不小于65AH，在驻车时可供医疗器械使用。</w:t>
            </w:r>
            <w:r>
              <w:rPr>
                <w:rFonts w:ascii="宋体" w:hAnsi="宋体" w:cs="宋体"/>
                <w:sz w:val="24"/>
              </w:rPr>
              <w:t xml:space="preserve">电</w:t>
            </w:r>
            <w:r>
              <w:rPr>
                <w:rFonts w:hint="eastAsia" w:ascii="宋体" w:hAnsi="宋体" w:cs="宋体"/>
                <w:sz w:val="24"/>
              </w:rPr>
              <w:t xml:space="preserve">瓶</w:t>
            </w:r>
            <w:r>
              <w:rPr>
                <w:rFonts w:ascii="宋体" w:hAnsi="宋体" w:cs="宋体"/>
                <w:sz w:val="24"/>
              </w:rPr>
              <w:t xml:space="preserve">应该安装在方便</w:t>
            </w:r>
            <w:r>
              <w:rPr>
                <w:rFonts w:hint="eastAsia" w:ascii="宋体" w:hAnsi="宋体" w:cs="宋体"/>
                <w:sz w:val="24"/>
              </w:rPr>
              <w:t xml:space="preserve">检修</w:t>
            </w:r>
            <w:r>
              <w:rPr>
                <w:rFonts w:ascii="宋体" w:hAnsi="宋体" w:cs="宋体"/>
                <w:sz w:val="24"/>
              </w:rPr>
              <w:t xml:space="preserve">的位置。蓄电池安装及其所有连接应防止任何情况下发生短路的可能。</w:t>
            </w:r>
            <w:r>
              <w:rPr>
                <w:rFonts w:hint="eastAsia" w:ascii="宋体" w:hAnsi="宋体" w:cs="宋体"/>
                <w:sz w:val="24"/>
              </w:rPr>
              <w:t xml:space="preserve">在</w:t>
            </w:r>
            <w:r>
              <w:rPr>
                <w:rFonts w:ascii="宋体" w:hAnsi="宋体" w:cs="宋体"/>
                <w:sz w:val="24"/>
              </w:rPr>
              <w:t xml:space="preserve">车辆</w:t>
            </w:r>
            <w:r>
              <w:rPr>
                <w:rFonts w:hint="eastAsia" w:ascii="宋体" w:hAnsi="宋体" w:cs="宋体"/>
                <w:sz w:val="24"/>
              </w:rPr>
              <w:t xml:space="preserve">熄火后，附加</w:t>
            </w:r>
            <w:r>
              <w:rPr>
                <w:rFonts w:ascii="宋体" w:hAnsi="宋体" w:cs="宋体"/>
                <w:sz w:val="24"/>
              </w:rPr>
              <w:t xml:space="preserve">电瓶和启动电瓶自动断开。车辆启动时自动连接，以保证救护车的正常启动和附加电设备的用电需要。</w:t>
            </w:r>
            <w:r>
              <w:rPr>
                <w:rFonts w:ascii="宋体" w:hAnsi="宋体" w:cs="宋体"/>
                <w:sz w:val="24"/>
              </w:rPr>
            </w:r>
            <w:r/>
          </w:p>
          <w:p>
            <w:pPr>
              <w:pStyle w:val="895"/>
              <w:jc w:val="left"/>
              <w:spacing w:line="360" w:lineRule="auto"/>
              <w:widowControl/>
              <w:rPr>
                <w:rFonts w:ascii="宋体" w:hAnsi="宋体" w:cs="宋体"/>
                <w:sz w:val="24"/>
              </w:rPr>
            </w:pPr>
            <w:r>
              <w:rPr>
                <w:rFonts w:hint="eastAsia" w:ascii="宋体" w:hAnsi="宋体" w:cs="宋体"/>
                <w:sz w:val="24"/>
              </w:rPr>
              <w:t xml:space="preserve">3、逆变器应为智能逆变/充电一体机，</w:t>
            </w:r>
            <w:r>
              <w:rPr>
                <w:rFonts w:ascii="宋体" w:hAnsi="宋体" w:cs="宋体"/>
                <w:sz w:val="24"/>
              </w:rPr>
              <w:t xml:space="preserve">12V</w:t>
            </w:r>
            <w:r>
              <w:rPr>
                <w:rFonts w:hint="eastAsia" w:ascii="宋体" w:hAnsi="宋体" w:cs="宋体"/>
                <w:sz w:val="24"/>
              </w:rPr>
              <w:t xml:space="preserve">输入，输出为</w:t>
            </w:r>
            <w:r>
              <w:rPr>
                <w:rFonts w:ascii="宋体" w:hAnsi="宋体" w:cs="宋体"/>
                <w:sz w:val="24"/>
              </w:rPr>
              <w:t xml:space="preserve">220V</w:t>
            </w:r>
            <w:r>
              <w:rPr>
                <w:rFonts w:hint="eastAsia" w:ascii="宋体" w:hAnsi="宋体" w:cs="宋体"/>
                <w:sz w:val="24"/>
              </w:rPr>
              <w:t xml:space="preserve">、不小于1000</w:t>
            </w:r>
            <w:r>
              <w:rPr>
                <w:rFonts w:ascii="宋体" w:hAnsi="宋体" w:cs="宋体"/>
                <w:sz w:val="24"/>
              </w:rPr>
              <w:t xml:space="preserve">W</w:t>
            </w:r>
            <w:r>
              <w:rPr>
                <w:rFonts w:hint="eastAsia" w:ascii="宋体" w:hAnsi="宋体" w:cs="宋体"/>
                <w:sz w:val="24"/>
              </w:rPr>
              <w:t xml:space="preserve">纯正弦波电源。</w:t>
            </w:r>
            <w:r>
              <w:rPr>
                <w:rFonts w:ascii="宋体" w:hAnsi="宋体" w:cs="宋体"/>
                <w:sz w:val="24"/>
              </w:rPr>
            </w:r>
            <w:r/>
          </w:p>
          <w:p>
            <w:pPr>
              <w:pStyle w:val="895"/>
              <w:numPr>
                <w:ilvl w:val="0"/>
                <w:numId w:val="6"/>
              </w:numPr>
              <w:jc w:val="left"/>
              <w:spacing w:line="360" w:lineRule="auto"/>
              <w:widowControl/>
              <w:rPr>
                <w:rFonts w:ascii="宋体" w:hAnsi="宋体" w:cs="宋体"/>
                <w:sz w:val="24"/>
              </w:rPr>
            </w:pPr>
            <w:r>
              <w:rPr>
                <w:rFonts w:hint="eastAsia" w:ascii="宋体" w:hAnsi="宋体" w:cs="宋体"/>
                <w:sz w:val="24"/>
              </w:rPr>
              <w:t xml:space="preserve">在车辆启动状态下，可实现24小时不间断供电，可输出220V，不小于1000W纯正弦波电源可供医疗设备使用，并在相应的位置安置12V电源插座两只、220V电源插座四只、5V USB插座两只。在总开关关闭后所有用电器应与主、副电瓶断开，防止漏电，以保证蓄电池保存充足电力。</w:t>
            </w:r>
            <w:r>
              <w:rPr>
                <w:rFonts w:ascii="宋体" w:hAnsi="宋体" w:cs="宋体"/>
                <w:sz w:val="24"/>
              </w:rPr>
            </w:r>
            <w:r/>
          </w:p>
          <w:p>
            <w:pPr>
              <w:pStyle w:val="895"/>
              <w:numPr>
                <w:ilvl w:val="0"/>
                <w:numId w:val="6"/>
              </w:numPr>
              <w:jc w:val="left"/>
              <w:spacing w:line="360" w:lineRule="auto"/>
              <w:widowControl/>
              <w:rPr>
                <w:rFonts w:ascii="宋体" w:hAnsi="宋体" w:cs="宋体"/>
                <w:sz w:val="24"/>
              </w:rPr>
            </w:pPr>
            <w:r>
              <w:rPr>
                <w:rFonts w:hint="eastAsia" w:ascii="宋体" w:hAnsi="宋体"/>
                <w:sz w:val="24"/>
              </w:rPr>
              <w:t xml:space="preserve">每个分电路应设有相应规范的过载保护装置，以确保医疗救护设备的电器正常使用。</w:t>
            </w:r>
            <w:r>
              <w:rPr>
                <w:rFonts w:ascii="宋体" w:hAnsi="宋体" w:cs="宋体"/>
                <w:sz w:val="24"/>
              </w:rPr>
            </w:r>
            <w:r/>
          </w:p>
          <w:p>
            <w:pPr>
              <w:pStyle w:val="895"/>
              <w:numPr>
                <w:ilvl w:val="0"/>
                <w:numId w:val="6"/>
              </w:numPr>
              <w:jc w:val="left"/>
              <w:spacing w:line="360" w:lineRule="auto"/>
              <w:widowControl/>
              <w:rPr>
                <w:rFonts w:ascii="宋体" w:hAnsi="宋体" w:cs="宋体"/>
                <w:sz w:val="24"/>
              </w:rPr>
            </w:pPr>
            <w:r>
              <w:rPr>
                <w:rFonts w:hint="eastAsia" w:ascii="宋体" w:hAnsi="宋体"/>
                <w:sz w:val="24"/>
              </w:rPr>
              <w:t xml:space="preserve">在主控制系统在故障状态下，有相应的手动备份控制系统，确保在故障状态下，仍能使用医疗舱内电器设施。</w:t>
            </w:r>
            <w:r>
              <w:rPr>
                <w:rFonts w:ascii="宋体" w:hAnsi="宋体" w:cs="宋体"/>
                <w:sz w:val="24"/>
              </w:rPr>
            </w:r>
            <w:r/>
          </w:p>
          <w:p>
            <w:pPr>
              <w:pStyle w:val="895"/>
              <w:numPr>
                <w:ilvl w:val="0"/>
                <w:numId w:val="6"/>
              </w:numPr>
              <w:jc w:val="left"/>
              <w:spacing w:line="360" w:lineRule="auto"/>
              <w:widowControl/>
              <w:rPr>
                <w:rFonts w:ascii="宋体" w:hAnsi="宋体" w:cs="宋体"/>
                <w:sz w:val="24"/>
              </w:rPr>
            </w:pPr>
            <w:r>
              <w:rPr>
                <w:rFonts w:hint="eastAsia" w:ascii="宋体" w:hAnsi="宋体" w:cs="宋体"/>
                <w:sz w:val="24"/>
              </w:rPr>
              <w:t xml:space="preserve">驾驶舱预留保险盒及连接端口（由电源经由保险盒至用电器连接端口），以便于加装GPS、行车记录仪、计价器等设备，保证车辆电路系统及外接用电器安全。</w:t>
            </w:r>
            <w:r>
              <w:rPr>
                <w:rFonts w:ascii="宋体" w:hAnsi="宋体" w:cs="宋体"/>
                <w:sz w:val="24"/>
              </w:rPr>
            </w:r>
            <w:r/>
          </w:p>
          <w:p>
            <w:pPr>
              <w:pStyle w:val="895"/>
              <w:numPr>
                <w:ilvl w:val="0"/>
                <w:numId w:val="6"/>
              </w:numPr>
              <w:jc w:val="left"/>
              <w:spacing w:line="360" w:lineRule="auto"/>
              <w:widowControl/>
              <w:rPr>
                <w:rFonts w:ascii="宋体" w:hAnsi="宋体" w:cs="宋体"/>
                <w:sz w:val="24"/>
              </w:rPr>
            </w:pPr>
            <w:r>
              <w:rPr>
                <w:rFonts w:hint="eastAsia" w:ascii="宋体" w:hAnsi="宋体" w:cs="宋体"/>
                <w:sz w:val="24"/>
              </w:rPr>
              <w:t xml:space="preserve">应配备内置大功率充电设备，可提供对蓄电池的充电，同时也可提供电力供车载医疗设备充电，需配备防水外接充电接口，外接充电线缆长度≥10M。</w:t>
            </w:r>
            <w:r>
              <w:rPr>
                <w:rFonts w:ascii="宋体" w:hAnsi="宋体" w:cs="宋体"/>
                <w:sz w:val="24"/>
              </w:rPr>
            </w:r>
            <w:r/>
          </w:p>
        </w:tc>
      </w:tr>
      <w:tr>
        <w:trPr/>
        <w:tc>
          <w:tcPr>
            <w:tcW w:w="966" w:type="dxa"/>
            <w:vAlign w:val="center"/>
            <w:textDirection w:val="lrTb"/>
            <w:noWrap w:val="false"/>
          </w:tcPr>
          <w:p>
            <w:pPr>
              <w:pStyle w:val="895"/>
              <w:jc w:val="center"/>
              <w:spacing w:line="360" w:lineRule="auto"/>
              <w:widowControl/>
              <w:rPr>
                <w:rFonts w:hint="eastAsia" w:ascii="宋体" w:hAnsi="宋体" w:cs="宋体"/>
                <w:b/>
                <w:bCs/>
                <w:sz w:val="24"/>
              </w:rPr>
            </w:pPr>
            <w:r>
              <w:rPr>
                <w:rFonts w:hint="eastAsia" w:ascii="宋体" w:hAnsi="宋体" w:cs="Arial"/>
                <w:b/>
                <w:bCs/>
                <w:sz w:val="24"/>
              </w:rPr>
              <w:t xml:space="preserve">五</w:t>
            </w:r>
            <w:r>
              <w:rPr>
                <w:rFonts w:hint="eastAsia" w:ascii="宋体" w:hAnsi="宋体" w:cs="宋体"/>
                <w:b/>
                <w:bCs/>
                <w:sz w:val="24"/>
              </w:rPr>
            </w:r>
            <w:r/>
          </w:p>
        </w:tc>
        <w:tc>
          <w:tcPr>
            <w:tcW w:w="1138" w:type="dxa"/>
            <w:vAlign w:val="center"/>
            <w:textDirection w:val="lrTb"/>
            <w:noWrap w:val="false"/>
          </w:tcPr>
          <w:p>
            <w:pPr>
              <w:pStyle w:val="895"/>
              <w:jc w:val="center"/>
              <w:spacing w:line="360" w:lineRule="auto"/>
              <w:widowControl/>
              <w:rPr>
                <w:rFonts w:ascii="宋体" w:hAnsi="宋体" w:cs="宋体"/>
                <w:b/>
                <w:bCs/>
                <w:sz w:val="24"/>
              </w:rPr>
            </w:pPr>
            <w:r>
              <w:rPr>
                <w:rFonts w:hint="eastAsia" w:ascii="宋体" w:hAnsi="宋体"/>
                <w:b/>
                <w:bCs/>
                <w:sz w:val="24"/>
              </w:rPr>
              <w:t xml:space="preserve">警示系统</w:t>
            </w:r>
            <w:r>
              <w:rPr>
                <w:rFonts w:ascii="宋体" w:hAnsi="宋体" w:cs="宋体"/>
                <w:b/>
                <w:bCs/>
                <w:sz w:val="24"/>
              </w:rPr>
            </w:r>
            <w:r/>
          </w:p>
        </w:tc>
        <w:tc>
          <w:tcPr>
            <w:tcW w:w="891" w:type="dxa"/>
            <w:vAlign w:val="center"/>
            <w:textDirection w:val="lrTb"/>
            <w:noWrap w:val="false"/>
          </w:tcPr>
          <w:p>
            <w:pPr>
              <w:pStyle w:val="895"/>
              <w:jc w:val="center"/>
              <w:spacing w:line="360" w:lineRule="auto"/>
              <w:widowControl/>
              <w:rPr>
                <w:rFonts w:hint="eastAsia" w:ascii="宋体" w:hAnsi="宋体" w:cs="宋体"/>
                <w:sz w:val="24"/>
              </w:rPr>
            </w:pPr>
            <w:r>
              <w:rPr>
                <w:rFonts w:hint="eastAsia" w:ascii="宋体" w:hAnsi="宋体" w:cs="宋体"/>
                <w:sz w:val="24"/>
              </w:rPr>
            </w:r>
            <w:r/>
          </w:p>
        </w:tc>
        <w:tc>
          <w:tcPr>
            <w:tcW w:w="5713" w:type="dxa"/>
            <w:vAlign w:val="center"/>
            <w:textDirection w:val="lrTb"/>
            <w:noWrap w:val="false"/>
          </w:tcPr>
          <w:p>
            <w:pPr>
              <w:pStyle w:val="895"/>
              <w:numPr>
                <w:ilvl w:val="0"/>
                <w:numId w:val="7"/>
              </w:numPr>
              <w:jc w:val="left"/>
              <w:spacing w:line="360" w:lineRule="auto"/>
              <w:widowControl/>
              <w:rPr>
                <w:rFonts w:hint="eastAsia" w:ascii="宋体" w:hAnsi="宋体"/>
                <w:sz w:val="24"/>
              </w:rPr>
            </w:pPr>
            <w:r>
              <w:rPr>
                <w:rFonts w:hint="eastAsia" w:ascii="宋体" w:hAnsi="宋体"/>
                <w:sz w:val="24"/>
              </w:rPr>
              <w:t xml:space="preserve">采用三段式内嵌式警灯，内部安装超高亮度LED警灯，整体美观大方，流线型设计，视觉冲击力与整体造型与基础车融为一体，警示角度范围大，效果好；左右中部各安装蓝色方形LED警示灯，左右后部安装蓝色菱形LED警示灯，车身后部配有长条型尾翼集成警灯</w:t>
            </w:r>
            <w:r>
              <w:rPr>
                <w:rFonts w:hint="eastAsia" w:ascii="宋体" w:hAnsi="宋体"/>
                <w:sz w:val="24"/>
              </w:rPr>
            </w:r>
            <w:r/>
          </w:p>
          <w:p>
            <w:pPr>
              <w:pStyle w:val="895"/>
              <w:numPr>
                <w:ilvl w:val="0"/>
                <w:numId w:val="7"/>
              </w:numPr>
              <w:jc w:val="left"/>
              <w:spacing w:line="360" w:lineRule="auto"/>
              <w:widowControl/>
              <w:rPr>
                <w:rFonts w:ascii="宋体" w:hAnsi="宋体"/>
                <w:sz w:val="24"/>
              </w:rPr>
            </w:pPr>
            <w:r>
              <w:rPr>
                <w:rFonts w:hint="eastAsia" w:ascii="宋体" w:hAnsi="宋体"/>
                <w:sz w:val="24"/>
              </w:rPr>
              <w:t xml:space="preserve">应配备</w:t>
            </w:r>
            <w:r>
              <w:rPr>
                <w:rFonts w:ascii="宋体" w:hAnsi="宋体"/>
                <w:sz w:val="24"/>
              </w:rPr>
              <w:t xml:space="preserve">分体式手柄控制器，多档调节，由驾驶室控制，并符合GB8108规定。</w:t>
            </w:r>
            <w:r>
              <w:rPr>
                <w:rFonts w:ascii="宋体" w:hAnsi="宋体"/>
                <w:sz w:val="24"/>
              </w:rPr>
            </w:r>
            <w:r/>
          </w:p>
        </w:tc>
      </w:tr>
      <w:tr>
        <w:trPr/>
        <w:tc>
          <w:tcPr>
            <w:tcW w:w="966" w:type="dxa"/>
            <w:vAlign w:val="center"/>
            <w:textDirection w:val="lrTb"/>
            <w:noWrap w:val="false"/>
          </w:tcPr>
          <w:p>
            <w:pPr>
              <w:pStyle w:val="895"/>
              <w:jc w:val="center"/>
              <w:spacing w:line="360" w:lineRule="auto"/>
              <w:widowControl/>
              <w:rPr>
                <w:rFonts w:hint="eastAsia" w:ascii="宋体" w:hAnsi="宋体" w:cs="宋体"/>
                <w:sz w:val="24"/>
              </w:rPr>
            </w:pPr>
            <w:r>
              <w:rPr>
                <w:rFonts w:hint="eastAsia" w:ascii="宋体" w:hAnsi="宋体" w:cs="宋体"/>
                <w:b/>
                <w:bCs/>
                <w:sz w:val="24"/>
              </w:rPr>
              <w:t xml:space="preserve">六</w:t>
            </w:r>
            <w:r>
              <w:rPr>
                <w:rFonts w:hint="eastAsia" w:ascii="宋体" w:hAnsi="宋体" w:cs="宋体"/>
                <w:sz w:val="24"/>
              </w:rPr>
            </w:r>
            <w:r/>
          </w:p>
        </w:tc>
        <w:tc>
          <w:tcPr>
            <w:tcW w:w="1138" w:type="dxa"/>
            <w:vAlign w:val="center"/>
            <w:textDirection w:val="lrTb"/>
            <w:noWrap w:val="false"/>
          </w:tcPr>
          <w:p>
            <w:pPr>
              <w:pStyle w:val="895"/>
              <w:jc w:val="center"/>
              <w:spacing w:line="360" w:lineRule="auto"/>
              <w:widowControl/>
              <w:rPr>
                <w:rFonts w:hint="eastAsia" w:ascii="宋体" w:hAnsi="宋体" w:cs="宋体"/>
                <w:sz w:val="24"/>
              </w:rPr>
            </w:pPr>
            <w:r>
              <w:rPr>
                <w:rFonts w:hint="eastAsia" w:ascii="宋体" w:hAnsi="宋体" w:cs="宋体"/>
                <w:b/>
                <w:bCs/>
                <w:sz w:val="24"/>
              </w:rPr>
              <w:t xml:space="preserve">供氧系统</w:t>
            </w:r>
            <w:r>
              <w:rPr>
                <w:rFonts w:hint="eastAsia" w:ascii="宋体" w:hAnsi="宋体" w:cs="宋体"/>
                <w:sz w:val="24"/>
              </w:rPr>
            </w:r>
            <w:r/>
          </w:p>
        </w:tc>
        <w:tc>
          <w:tcPr>
            <w:tcW w:w="891" w:type="dxa"/>
            <w:vAlign w:val="center"/>
            <w:textDirection w:val="lrTb"/>
            <w:noWrap w:val="false"/>
          </w:tcPr>
          <w:p>
            <w:pPr>
              <w:pStyle w:val="895"/>
              <w:jc w:val="center"/>
              <w:spacing w:line="360" w:lineRule="auto"/>
              <w:widowControl/>
              <w:rPr>
                <w:rFonts w:ascii="宋体" w:hAnsi="宋体"/>
                <w:sz w:val="24"/>
              </w:rPr>
            </w:pPr>
            <w:r>
              <w:rPr>
                <w:rFonts w:ascii="宋体" w:hAnsi="宋体"/>
                <w:sz w:val="24"/>
              </w:rPr>
            </w:r>
            <w:r/>
          </w:p>
        </w:tc>
        <w:tc>
          <w:tcPr>
            <w:tcW w:w="5713" w:type="dxa"/>
            <w:vAlign w:val="center"/>
            <w:textDirection w:val="lrTb"/>
            <w:noWrap w:val="false"/>
          </w:tcPr>
          <w:p>
            <w:pPr>
              <w:pStyle w:val="895"/>
              <w:numPr>
                <w:ilvl w:val="0"/>
                <w:numId w:val="8"/>
              </w:numPr>
              <w:jc w:val="left"/>
              <w:spacing w:line="360" w:lineRule="auto"/>
              <w:widowControl/>
              <w:rPr>
                <w:rFonts w:hint="eastAsia" w:ascii="宋体" w:hAnsi="宋体"/>
                <w:sz w:val="24"/>
              </w:rPr>
            </w:pPr>
            <w:r>
              <w:rPr>
                <w:rFonts w:hint="eastAsia" w:ascii="宋体" w:hAnsi="宋体"/>
                <w:sz w:val="24"/>
              </w:rPr>
              <w:t xml:space="preserve">氧气主连接管道应采用金属管，并隐藏于内饰与车身之间， 氧气阀与管道连接应采用金属快速活接，确保安全性及便捷性。</w:t>
            </w:r>
            <w:r>
              <w:rPr>
                <w:rFonts w:hint="eastAsia" w:ascii="宋体" w:hAnsi="宋体"/>
                <w:sz w:val="24"/>
              </w:rPr>
            </w:r>
            <w:r/>
          </w:p>
          <w:p>
            <w:pPr>
              <w:pStyle w:val="895"/>
              <w:numPr>
                <w:ilvl w:val="0"/>
                <w:numId w:val="8"/>
              </w:numPr>
              <w:jc w:val="left"/>
              <w:spacing w:line="360" w:lineRule="auto"/>
              <w:widowControl/>
              <w:rPr>
                <w:rFonts w:hint="eastAsia" w:ascii="宋体" w:hAnsi="宋体"/>
                <w:sz w:val="24"/>
              </w:rPr>
            </w:pPr>
            <w:r>
              <w:rPr>
                <w:rFonts w:hint="eastAsia" w:ascii="宋体" w:hAnsi="宋体"/>
                <w:sz w:val="24"/>
              </w:rPr>
              <w:t xml:space="preserve">应配备</w:t>
            </w:r>
            <w:r>
              <w:rPr>
                <w:rFonts w:ascii="宋体" w:hAnsi="宋体"/>
                <w:sz w:val="24"/>
              </w:rPr>
              <w:t xml:space="preserve">10</w:t>
            </w:r>
            <w:r>
              <w:rPr>
                <w:rFonts w:hint="eastAsia" w:ascii="宋体" w:hAnsi="宋体"/>
                <w:sz w:val="24"/>
              </w:rPr>
              <w:t xml:space="preserve">升铝合金氧气瓶四只（带高压减压阀及不锈钢固定装置）</w:t>
            </w:r>
            <w:r>
              <w:rPr>
                <w:rFonts w:hint="eastAsia" w:ascii="宋体" w:hAnsi="宋体"/>
                <w:sz w:val="24"/>
              </w:rPr>
            </w:r>
            <w:r/>
          </w:p>
          <w:p>
            <w:pPr>
              <w:pStyle w:val="895"/>
              <w:numPr>
                <w:ilvl w:val="0"/>
                <w:numId w:val="8"/>
              </w:numPr>
              <w:jc w:val="left"/>
              <w:spacing w:line="360" w:lineRule="auto"/>
              <w:widowControl/>
              <w:rPr>
                <w:rFonts w:hint="eastAsia" w:ascii="宋体" w:hAnsi="宋体"/>
                <w:sz w:val="24"/>
              </w:rPr>
            </w:pPr>
            <w:r>
              <w:rPr>
                <w:rFonts w:hint="eastAsia" w:ascii="宋体" w:hAnsi="宋体"/>
                <w:sz w:val="24"/>
              </w:rPr>
              <w:t xml:space="preserve">应配备即插即用湿化瓶。</w:t>
            </w:r>
            <w:r>
              <w:rPr>
                <w:rFonts w:hint="eastAsia" w:ascii="宋体" w:hAnsi="宋体"/>
                <w:sz w:val="24"/>
              </w:rPr>
            </w:r>
            <w:r/>
          </w:p>
        </w:tc>
      </w:tr>
      <w:tr>
        <w:trPr/>
        <w:tc>
          <w:tcPr>
            <w:tcW w:w="966" w:type="dxa"/>
            <w:vAlign w:val="center"/>
            <w:textDirection w:val="lrTb"/>
            <w:noWrap w:val="false"/>
          </w:tcPr>
          <w:p>
            <w:pPr>
              <w:pStyle w:val="895"/>
              <w:jc w:val="center"/>
              <w:spacing w:line="360" w:lineRule="auto"/>
              <w:widowControl/>
              <w:rPr>
                <w:rFonts w:hint="eastAsia" w:ascii="宋体" w:hAnsi="宋体" w:cs="宋体"/>
                <w:b/>
                <w:bCs/>
                <w:sz w:val="24"/>
              </w:rPr>
            </w:pPr>
            <w:r>
              <w:rPr>
                <w:rFonts w:hint="eastAsia" w:ascii="宋体" w:hAnsi="宋体" w:cs="宋体"/>
                <w:b/>
                <w:bCs/>
                <w:sz w:val="24"/>
              </w:rPr>
              <w:t xml:space="preserve">七</w:t>
            </w:r>
            <w:r>
              <w:rPr>
                <w:rFonts w:hint="eastAsia" w:ascii="宋体" w:hAnsi="宋体" w:cs="宋体"/>
                <w:b/>
                <w:bCs/>
                <w:sz w:val="24"/>
              </w:rPr>
            </w:r>
            <w:r/>
          </w:p>
        </w:tc>
        <w:tc>
          <w:tcPr>
            <w:tcW w:w="1138" w:type="dxa"/>
            <w:vAlign w:val="center"/>
            <w:textDirection w:val="lrTb"/>
            <w:noWrap w:val="false"/>
          </w:tcPr>
          <w:p>
            <w:pPr>
              <w:pStyle w:val="895"/>
              <w:jc w:val="center"/>
              <w:spacing w:line="360" w:lineRule="auto"/>
              <w:widowControl/>
              <w:rPr>
                <w:rFonts w:hint="eastAsia" w:ascii="宋体" w:hAnsi="宋体" w:cs="宋体"/>
                <w:b/>
                <w:bCs/>
                <w:sz w:val="24"/>
              </w:rPr>
            </w:pPr>
            <w:r>
              <w:rPr>
                <w:rFonts w:hint="eastAsia" w:ascii="宋体" w:hAnsi="宋体" w:cs="宋体"/>
                <w:b/>
                <w:bCs/>
                <w:sz w:val="24"/>
              </w:rPr>
              <w:t xml:space="preserve">换气系统</w:t>
            </w:r>
            <w:r>
              <w:rPr>
                <w:rFonts w:hint="eastAsia" w:ascii="宋体" w:hAnsi="宋体" w:cs="宋体"/>
                <w:b/>
                <w:bCs/>
                <w:sz w:val="24"/>
              </w:rPr>
            </w:r>
            <w:r/>
          </w:p>
        </w:tc>
        <w:tc>
          <w:tcPr>
            <w:tcW w:w="891" w:type="dxa"/>
            <w:vAlign w:val="center"/>
            <w:textDirection w:val="lrTb"/>
            <w:noWrap w:val="false"/>
          </w:tcPr>
          <w:p>
            <w:pPr>
              <w:pStyle w:val="895"/>
              <w:jc w:val="center"/>
              <w:spacing w:line="360" w:lineRule="auto"/>
              <w:widowControl/>
              <w:rPr>
                <w:rFonts w:hint="eastAsia" w:ascii="宋体" w:hAnsi="宋体"/>
                <w:sz w:val="24"/>
              </w:rPr>
            </w:pPr>
            <w:r>
              <w:rPr>
                <w:rFonts w:hint="eastAsia" w:ascii="宋体" w:hAnsi="宋体"/>
                <w:sz w:val="24"/>
              </w:rPr>
            </w:r>
            <w:r/>
          </w:p>
        </w:tc>
        <w:tc>
          <w:tcPr>
            <w:tcW w:w="5713" w:type="dxa"/>
            <w:vAlign w:val="center"/>
            <w:textDirection w:val="lrTb"/>
            <w:noWrap w:val="false"/>
          </w:tcPr>
          <w:p>
            <w:pPr>
              <w:pStyle w:val="895"/>
              <w:jc w:val="left"/>
              <w:spacing w:line="360" w:lineRule="auto"/>
              <w:widowControl/>
              <w:rPr>
                <w:rFonts w:ascii="宋体" w:hAnsi="宋体" w:cs="宋体"/>
                <w:sz w:val="24"/>
              </w:rPr>
            </w:pPr>
            <w:r>
              <w:rPr>
                <w:rFonts w:hint="eastAsia" w:ascii="宋体" w:hAnsi="宋体" w:cs="宋体"/>
                <w:sz w:val="24"/>
              </w:rPr>
              <w:t xml:space="preserve">应配备隐藏式下排风，带初级过滤装置，车厢内换气次数可达20次/小时。</w:t>
            </w:r>
            <w:r>
              <w:rPr>
                <w:rFonts w:ascii="宋体" w:hAnsi="宋体" w:cs="宋体"/>
                <w:sz w:val="24"/>
              </w:rPr>
            </w:r>
            <w:r/>
          </w:p>
        </w:tc>
      </w:tr>
      <w:tr>
        <w:trPr/>
        <w:tc>
          <w:tcPr>
            <w:tcW w:w="966" w:type="dxa"/>
            <w:vAlign w:val="center"/>
            <w:textDirection w:val="lrTb"/>
            <w:noWrap w:val="false"/>
          </w:tcPr>
          <w:p>
            <w:pPr>
              <w:pStyle w:val="895"/>
              <w:jc w:val="center"/>
              <w:spacing w:line="360" w:lineRule="auto"/>
              <w:widowControl/>
              <w:rPr>
                <w:rFonts w:hint="eastAsia" w:ascii="宋体" w:hAnsi="宋体" w:cs="宋体"/>
                <w:b/>
                <w:bCs/>
                <w:sz w:val="24"/>
              </w:rPr>
            </w:pPr>
            <w:r>
              <w:rPr>
                <w:rFonts w:hint="eastAsia" w:ascii="宋体" w:hAnsi="宋体" w:cs="宋体"/>
                <w:b/>
                <w:bCs/>
                <w:sz w:val="24"/>
              </w:rPr>
              <w:t xml:space="preserve">八</w:t>
            </w:r>
            <w:r>
              <w:rPr>
                <w:rFonts w:hint="eastAsia" w:ascii="宋体" w:hAnsi="宋体" w:cs="宋体"/>
                <w:b/>
                <w:bCs/>
                <w:sz w:val="24"/>
              </w:rPr>
            </w:r>
            <w:r/>
          </w:p>
        </w:tc>
        <w:tc>
          <w:tcPr>
            <w:tcW w:w="1138" w:type="dxa"/>
            <w:vAlign w:val="center"/>
            <w:textDirection w:val="lrTb"/>
            <w:noWrap w:val="false"/>
          </w:tcPr>
          <w:p>
            <w:pPr>
              <w:pStyle w:val="895"/>
              <w:jc w:val="center"/>
              <w:spacing w:line="360" w:lineRule="auto"/>
              <w:widowControl/>
              <w:rPr>
                <w:rFonts w:hint="eastAsia" w:ascii="宋体" w:hAnsi="宋体" w:cs="宋体"/>
                <w:b/>
                <w:bCs/>
                <w:sz w:val="24"/>
              </w:rPr>
            </w:pPr>
            <w:r>
              <w:rPr>
                <w:rFonts w:hint="eastAsia" w:ascii="宋体" w:hAnsi="宋体"/>
                <w:b/>
                <w:bCs/>
                <w:sz w:val="24"/>
              </w:rPr>
              <w:t xml:space="preserve">吸引系统</w:t>
            </w:r>
            <w:r>
              <w:rPr>
                <w:rFonts w:hint="eastAsia" w:ascii="宋体" w:hAnsi="宋体" w:cs="宋体"/>
                <w:b/>
                <w:bCs/>
                <w:sz w:val="24"/>
              </w:rPr>
            </w:r>
            <w:r/>
          </w:p>
        </w:tc>
        <w:tc>
          <w:tcPr>
            <w:tcW w:w="891" w:type="dxa"/>
            <w:vAlign w:val="center"/>
            <w:textDirection w:val="lrTb"/>
            <w:noWrap w:val="false"/>
          </w:tcPr>
          <w:p>
            <w:pPr>
              <w:pStyle w:val="895"/>
              <w:jc w:val="center"/>
              <w:spacing w:line="360" w:lineRule="auto"/>
              <w:widowControl/>
              <w:rPr>
                <w:rFonts w:hint="eastAsia" w:ascii="宋体" w:hAnsi="宋体" w:cs="宋体"/>
                <w:sz w:val="24"/>
              </w:rPr>
            </w:pPr>
            <w:r>
              <w:rPr>
                <w:rFonts w:hint="eastAsia" w:ascii="宋体" w:hAnsi="宋体" w:cs="宋体"/>
                <w:sz w:val="24"/>
              </w:rPr>
            </w:r>
            <w:r/>
          </w:p>
        </w:tc>
        <w:tc>
          <w:tcPr>
            <w:tcW w:w="5713" w:type="dxa"/>
            <w:vAlign w:val="center"/>
            <w:textDirection w:val="lrTb"/>
            <w:noWrap w:val="false"/>
          </w:tcPr>
          <w:p>
            <w:pPr>
              <w:pStyle w:val="895"/>
              <w:jc w:val="left"/>
              <w:spacing w:line="360" w:lineRule="auto"/>
              <w:widowControl/>
              <w:rPr>
                <w:rFonts w:ascii="宋体" w:hAnsi="宋体" w:cs="宋体"/>
                <w:sz w:val="24"/>
              </w:rPr>
            </w:pPr>
            <w:r>
              <w:rPr>
                <w:rFonts w:hint="eastAsia" w:ascii="宋体" w:hAnsi="宋体"/>
                <w:sz w:val="24"/>
              </w:rPr>
              <w:t xml:space="preserve">吸引器应采用分体式吸引器和吸引瓶，并由隐藏式管道连接。使用时只需打开吸引器开关，调节好档位，即可供病人使用。</w:t>
            </w:r>
            <w:r>
              <w:rPr>
                <w:rFonts w:ascii="宋体" w:hAnsi="宋体" w:cs="宋体"/>
                <w:sz w:val="24"/>
              </w:rPr>
            </w:r>
            <w:r/>
          </w:p>
        </w:tc>
      </w:tr>
      <w:tr>
        <w:trPr/>
        <w:tc>
          <w:tcPr>
            <w:tcW w:w="966" w:type="dxa"/>
            <w:vAlign w:val="center"/>
            <w:textDirection w:val="lrTb"/>
            <w:noWrap w:val="false"/>
          </w:tcPr>
          <w:p>
            <w:pPr>
              <w:pStyle w:val="895"/>
              <w:jc w:val="center"/>
              <w:spacing w:line="360" w:lineRule="auto"/>
              <w:widowControl/>
              <w:rPr>
                <w:rFonts w:hint="eastAsia" w:ascii="宋体" w:hAnsi="宋体" w:cs="宋体"/>
                <w:b/>
                <w:bCs/>
                <w:sz w:val="24"/>
              </w:rPr>
            </w:pPr>
            <w:r>
              <w:rPr>
                <w:rFonts w:hint="eastAsia" w:ascii="宋体" w:hAnsi="宋体" w:cs="宋体"/>
                <w:b/>
                <w:bCs/>
                <w:sz w:val="24"/>
              </w:rPr>
              <w:t xml:space="preserve">九</w:t>
            </w:r>
            <w:r>
              <w:rPr>
                <w:rFonts w:hint="eastAsia" w:ascii="宋体" w:hAnsi="宋体" w:cs="宋体"/>
                <w:b/>
                <w:bCs/>
                <w:sz w:val="24"/>
              </w:rPr>
            </w:r>
            <w:r/>
          </w:p>
        </w:tc>
        <w:tc>
          <w:tcPr>
            <w:tcW w:w="1138" w:type="dxa"/>
            <w:vAlign w:val="center"/>
            <w:textDirection w:val="lrTb"/>
            <w:noWrap w:val="false"/>
          </w:tcPr>
          <w:p>
            <w:pPr>
              <w:pStyle w:val="895"/>
              <w:jc w:val="center"/>
              <w:spacing w:line="360" w:lineRule="auto"/>
              <w:widowControl/>
              <w:rPr>
                <w:rFonts w:ascii="宋体" w:hAnsi="宋体" w:cs="宋体"/>
                <w:b/>
                <w:bCs/>
                <w:sz w:val="24"/>
              </w:rPr>
            </w:pPr>
            <w:r>
              <w:rPr>
                <w:rFonts w:hint="eastAsia" w:ascii="宋体" w:hAnsi="宋体" w:cs="宋体"/>
                <w:b/>
                <w:bCs/>
                <w:sz w:val="24"/>
              </w:rPr>
              <w:t xml:space="preserve">照明系统</w:t>
            </w:r>
            <w:r>
              <w:rPr>
                <w:rFonts w:ascii="宋体" w:hAnsi="宋体" w:cs="宋体"/>
                <w:b/>
                <w:bCs/>
                <w:sz w:val="24"/>
              </w:rPr>
            </w:r>
            <w:r/>
          </w:p>
        </w:tc>
        <w:tc>
          <w:tcPr>
            <w:tcW w:w="891" w:type="dxa"/>
            <w:vAlign w:val="center"/>
            <w:textDirection w:val="lrTb"/>
            <w:noWrap w:val="false"/>
          </w:tcPr>
          <w:p>
            <w:pPr>
              <w:pStyle w:val="895"/>
              <w:jc w:val="center"/>
              <w:spacing w:line="360" w:lineRule="auto"/>
              <w:widowControl/>
              <w:rPr>
                <w:rFonts w:hint="eastAsia" w:ascii="宋体" w:hAnsi="宋体"/>
                <w:sz w:val="24"/>
              </w:rPr>
            </w:pPr>
            <w:r>
              <w:rPr>
                <w:rFonts w:hint="eastAsia" w:ascii="宋体" w:hAnsi="宋体"/>
                <w:sz w:val="24"/>
              </w:rPr>
            </w:r>
            <w:r/>
          </w:p>
        </w:tc>
        <w:tc>
          <w:tcPr>
            <w:tcW w:w="5713" w:type="dxa"/>
            <w:vAlign w:val="center"/>
            <w:textDirection w:val="lrTb"/>
            <w:noWrap w:val="false"/>
          </w:tcPr>
          <w:p>
            <w:pPr>
              <w:pStyle w:val="895"/>
              <w:numPr>
                <w:ilvl w:val="0"/>
                <w:numId w:val="9"/>
              </w:numPr>
              <w:jc w:val="left"/>
              <w:spacing w:line="360" w:lineRule="auto"/>
              <w:widowControl/>
              <w:rPr>
                <w:rFonts w:hint="eastAsia" w:ascii="宋体" w:hAnsi="宋体"/>
                <w:sz w:val="24"/>
              </w:rPr>
            </w:pPr>
            <w:r>
              <w:rPr>
                <w:rFonts w:hint="eastAsia" w:ascii="宋体" w:hAnsi="宋体"/>
                <w:sz w:val="24"/>
              </w:rPr>
              <w:t xml:space="preserve">应配有</w:t>
            </w:r>
            <w:r>
              <w:rPr>
                <w:rFonts w:hint="eastAsia" w:ascii="宋体" w:hAnsi="宋体" w:cs="宋体"/>
                <w:sz w:val="24"/>
              </w:rPr>
              <w:t xml:space="preserve">LED平板光带，光线均匀、柔和，考虑病人直视的舒适性。在</w:t>
            </w:r>
            <w:r>
              <w:rPr>
                <w:rFonts w:ascii="宋体" w:hAnsi="宋体"/>
                <w:sz w:val="24"/>
              </w:rPr>
              <w:t xml:space="preserve">病人区域最</w:t>
            </w:r>
            <w:r>
              <w:rPr>
                <w:rFonts w:hint="eastAsia" w:ascii="宋体" w:hAnsi="宋体"/>
                <w:sz w:val="24"/>
              </w:rPr>
              <w:t xml:space="preserve">高</w:t>
            </w:r>
            <w:r>
              <w:rPr>
                <w:rFonts w:ascii="宋体" w:hAnsi="宋体"/>
                <w:sz w:val="24"/>
              </w:rPr>
              <w:t xml:space="preserve">照度为</w:t>
            </w:r>
            <w:r>
              <w:rPr>
                <w:rFonts w:hint="eastAsia" w:ascii="宋体" w:hAnsi="宋体"/>
                <w:sz w:val="24"/>
              </w:rPr>
              <w:t xml:space="preserve">不小于</w:t>
            </w:r>
            <w:r>
              <w:rPr>
                <w:rFonts w:ascii="宋体" w:hAnsi="宋体"/>
                <w:sz w:val="24"/>
              </w:rPr>
              <w:t xml:space="preserve">300lx</w:t>
            </w:r>
            <w:r>
              <w:rPr>
                <w:rFonts w:hint="eastAsia" w:ascii="宋体" w:hAnsi="宋体"/>
                <w:sz w:val="24"/>
              </w:rPr>
              <w:t xml:space="preserve">，也可根据实际情况调节亮度。</w:t>
            </w:r>
            <w:r>
              <w:rPr>
                <w:rFonts w:hint="eastAsia" w:ascii="宋体" w:hAnsi="宋体"/>
                <w:sz w:val="24"/>
              </w:rPr>
            </w:r>
            <w:r/>
          </w:p>
          <w:p>
            <w:pPr>
              <w:pStyle w:val="895"/>
              <w:numPr>
                <w:ilvl w:val="0"/>
                <w:numId w:val="9"/>
              </w:numPr>
              <w:jc w:val="left"/>
              <w:spacing w:line="360" w:lineRule="auto"/>
              <w:widowControl/>
              <w:rPr>
                <w:rFonts w:ascii="宋体" w:hAnsi="宋体"/>
                <w:sz w:val="24"/>
              </w:rPr>
            </w:pPr>
            <w:r>
              <w:rPr>
                <w:rFonts w:hint="eastAsia" w:ascii="宋体" w:hAnsi="宋体" w:cs="宋体"/>
                <w:sz w:val="24"/>
              </w:rPr>
              <w:t xml:space="preserve">应配有专用射灯2组，LED冷光源，聚光型，高亮度，可调节照射角度，可在实施急救时辅助照明使用。</w:t>
            </w:r>
            <w:r>
              <w:rPr>
                <w:rFonts w:ascii="宋体" w:hAnsi="宋体"/>
                <w:sz w:val="24"/>
              </w:rPr>
            </w:r>
            <w:r/>
          </w:p>
          <w:p>
            <w:pPr>
              <w:pStyle w:val="895"/>
              <w:numPr>
                <w:ilvl w:val="0"/>
                <w:numId w:val="9"/>
              </w:numPr>
              <w:jc w:val="left"/>
              <w:spacing w:line="360" w:lineRule="auto"/>
              <w:widowControl/>
              <w:rPr>
                <w:rFonts w:ascii="宋体" w:hAnsi="宋体"/>
                <w:sz w:val="24"/>
              </w:rPr>
            </w:pPr>
            <w:r>
              <w:rPr>
                <w:rFonts w:hint="eastAsia" w:ascii="宋体" w:hAnsi="宋体" w:cs="宋体"/>
                <w:sz w:val="24"/>
              </w:rPr>
              <w:t xml:space="preserve">应采用大功率LED后射灯，有效距离不小于10米。</w:t>
            </w:r>
            <w:r>
              <w:rPr>
                <w:rFonts w:ascii="宋体" w:hAnsi="宋体"/>
                <w:sz w:val="24"/>
              </w:rPr>
            </w:r>
            <w:r/>
          </w:p>
          <w:p>
            <w:pPr>
              <w:pStyle w:val="895"/>
              <w:numPr>
                <w:ilvl w:val="0"/>
                <w:numId w:val="9"/>
              </w:numPr>
              <w:jc w:val="left"/>
              <w:spacing w:line="360" w:lineRule="auto"/>
              <w:widowControl/>
              <w:rPr>
                <w:rFonts w:ascii="宋体" w:hAnsi="宋体"/>
                <w:sz w:val="24"/>
              </w:rPr>
            </w:pPr>
            <w:r>
              <w:rPr>
                <w:rFonts w:hint="eastAsia" w:ascii="宋体" w:hAnsi="宋体" w:cs="宋体"/>
                <w:sz w:val="24"/>
              </w:rPr>
              <w:t xml:space="preserve">应配备夜间外部照明系统，便于夜间急救工作的开展。</w:t>
            </w:r>
            <w:r>
              <w:rPr>
                <w:rFonts w:ascii="宋体" w:hAnsi="宋体"/>
                <w:sz w:val="24"/>
              </w:rPr>
            </w:r>
            <w:r/>
          </w:p>
        </w:tc>
      </w:tr>
      <w:tr>
        <w:trPr/>
        <w:tc>
          <w:tcPr>
            <w:tcW w:w="966" w:type="dxa"/>
            <w:vAlign w:val="center"/>
            <w:textDirection w:val="lrTb"/>
            <w:noWrap w:val="false"/>
          </w:tcPr>
          <w:p>
            <w:pPr>
              <w:pStyle w:val="895"/>
              <w:jc w:val="center"/>
              <w:spacing w:line="360" w:lineRule="auto"/>
              <w:widowControl/>
              <w:rPr>
                <w:rFonts w:hint="eastAsia" w:ascii="宋体" w:hAnsi="宋体" w:cs="宋体"/>
                <w:b/>
                <w:bCs/>
                <w:sz w:val="24"/>
              </w:rPr>
            </w:pPr>
            <w:r>
              <w:rPr>
                <w:rFonts w:hint="eastAsia" w:ascii="宋体" w:hAnsi="宋体" w:cs="宋体"/>
                <w:b/>
                <w:bCs/>
                <w:sz w:val="24"/>
              </w:rPr>
              <w:t xml:space="preserve">十</w:t>
            </w:r>
            <w:r>
              <w:rPr>
                <w:rFonts w:hint="eastAsia" w:ascii="宋体" w:hAnsi="宋体" w:cs="宋体"/>
                <w:b/>
                <w:bCs/>
                <w:sz w:val="24"/>
              </w:rPr>
            </w:r>
            <w:r/>
          </w:p>
        </w:tc>
        <w:tc>
          <w:tcPr>
            <w:tcW w:w="1138" w:type="dxa"/>
            <w:vAlign w:val="center"/>
            <w:textDirection w:val="lrTb"/>
            <w:noWrap w:val="false"/>
          </w:tcPr>
          <w:p>
            <w:pPr>
              <w:pStyle w:val="895"/>
              <w:jc w:val="center"/>
              <w:spacing w:line="360" w:lineRule="auto"/>
              <w:widowControl/>
              <w:rPr>
                <w:rFonts w:hint="eastAsia" w:ascii="宋体" w:hAnsi="宋体" w:cs="宋体"/>
                <w:b/>
                <w:bCs/>
                <w:sz w:val="24"/>
              </w:rPr>
            </w:pPr>
            <w:r>
              <w:rPr>
                <w:rFonts w:hint="eastAsia" w:ascii="宋体" w:hAnsi="宋体" w:cs="宋体"/>
                <w:b/>
                <w:bCs/>
                <w:sz w:val="24"/>
              </w:rPr>
              <w:t xml:space="preserve">输液系统</w:t>
            </w:r>
            <w:r>
              <w:rPr>
                <w:rFonts w:hint="eastAsia" w:ascii="宋体" w:hAnsi="宋体" w:cs="宋体"/>
                <w:b/>
                <w:bCs/>
                <w:sz w:val="24"/>
              </w:rPr>
            </w:r>
            <w:r/>
          </w:p>
        </w:tc>
        <w:tc>
          <w:tcPr>
            <w:tcW w:w="891" w:type="dxa"/>
            <w:vAlign w:val="center"/>
            <w:textDirection w:val="lrTb"/>
            <w:noWrap w:val="false"/>
          </w:tcPr>
          <w:p>
            <w:pPr>
              <w:pStyle w:val="895"/>
              <w:jc w:val="center"/>
              <w:spacing w:line="360" w:lineRule="auto"/>
              <w:widowControl/>
              <w:rPr>
                <w:rFonts w:hint="eastAsia" w:ascii="宋体" w:hAnsi="宋体" w:cs="宋体"/>
                <w:sz w:val="24"/>
              </w:rPr>
            </w:pPr>
            <w:r>
              <w:rPr>
                <w:rFonts w:hint="eastAsia" w:ascii="宋体" w:hAnsi="宋体" w:cs="宋体"/>
                <w:sz w:val="24"/>
              </w:rPr>
            </w:r>
            <w:r/>
          </w:p>
        </w:tc>
        <w:tc>
          <w:tcPr>
            <w:tcW w:w="5713" w:type="dxa"/>
            <w:vAlign w:val="center"/>
            <w:textDirection w:val="lrTb"/>
            <w:noWrap w:val="false"/>
          </w:tcPr>
          <w:p>
            <w:pPr>
              <w:pStyle w:val="895"/>
              <w:jc w:val="left"/>
              <w:spacing w:line="360" w:lineRule="auto"/>
              <w:widowControl/>
              <w:rPr>
                <w:rFonts w:ascii="宋体" w:hAnsi="宋体" w:cs="宋体"/>
                <w:sz w:val="24"/>
              </w:rPr>
            </w:pPr>
            <w:r>
              <w:rPr>
                <w:rFonts w:hint="eastAsia" w:ascii="宋体" w:hAnsi="宋体" w:cs="宋体"/>
                <w:sz w:val="24"/>
              </w:rPr>
              <w:t xml:space="preserve">在担架车上方应装有输液架以及</w:t>
            </w:r>
            <w:r>
              <w:rPr>
                <w:rFonts w:hint="eastAsia" w:ascii="宋体" w:hAnsi="宋体"/>
                <w:sz w:val="24"/>
              </w:rPr>
              <w:t xml:space="preserve">输液泵固定支架</w:t>
            </w:r>
            <w:r>
              <w:rPr>
                <w:rFonts w:hint="eastAsia" w:ascii="宋体" w:hAnsi="宋体" w:cs="宋体"/>
                <w:sz w:val="24"/>
              </w:rPr>
              <w:t xml:space="preserve">。</w:t>
            </w:r>
            <w:r>
              <w:rPr>
                <w:rFonts w:ascii="宋体" w:hAnsi="宋体" w:cs="宋体"/>
                <w:sz w:val="24"/>
              </w:rPr>
            </w:r>
            <w:r/>
          </w:p>
        </w:tc>
      </w:tr>
      <w:tr>
        <w:trPr/>
        <w:tc>
          <w:tcPr>
            <w:tcW w:w="966" w:type="dxa"/>
            <w:vAlign w:val="center"/>
            <w:textDirection w:val="lrTb"/>
            <w:noWrap w:val="false"/>
          </w:tcPr>
          <w:p>
            <w:pPr>
              <w:pStyle w:val="895"/>
              <w:jc w:val="center"/>
              <w:spacing w:line="360" w:lineRule="auto"/>
              <w:widowControl/>
              <w:rPr>
                <w:rFonts w:hint="eastAsia" w:ascii="宋体" w:hAnsi="宋体" w:cs="宋体"/>
                <w:b/>
                <w:bCs/>
                <w:sz w:val="24"/>
              </w:rPr>
            </w:pPr>
            <w:r>
              <w:rPr>
                <w:rFonts w:hint="eastAsia" w:ascii="宋体" w:hAnsi="宋体" w:cs="宋体"/>
                <w:b/>
                <w:bCs/>
                <w:sz w:val="24"/>
              </w:rPr>
              <w:t xml:space="preserve">十一</w:t>
            </w:r>
            <w:r>
              <w:rPr>
                <w:rFonts w:hint="eastAsia" w:ascii="宋体" w:hAnsi="宋体" w:cs="宋体"/>
                <w:b/>
                <w:bCs/>
                <w:sz w:val="24"/>
              </w:rPr>
            </w:r>
            <w:r/>
          </w:p>
        </w:tc>
        <w:tc>
          <w:tcPr>
            <w:tcW w:w="1138" w:type="dxa"/>
            <w:vAlign w:val="center"/>
            <w:textDirection w:val="lrTb"/>
            <w:noWrap w:val="false"/>
          </w:tcPr>
          <w:p>
            <w:pPr>
              <w:pStyle w:val="895"/>
              <w:jc w:val="center"/>
              <w:spacing w:line="360" w:lineRule="auto"/>
              <w:widowControl/>
              <w:rPr>
                <w:rFonts w:ascii="宋体" w:hAnsi="宋体" w:cs="宋体"/>
                <w:b/>
                <w:bCs/>
                <w:sz w:val="24"/>
              </w:rPr>
            </w:pPr>
            <w:r>
              <w:rPr>
                <w:rFonts w:hint="eastAsia" w:ascii="宋体" w:hAnsi="宋体" w:cs="宋体"/>
                <w:b/>
                <w:bCs/>
                <w:sz w:val="24"/>
              </w:rPr>
              <w:t xml:space="preserve">通讯系统</w:t>
            </w:r>
            <w:r>
              <w:rPr>
                <w:rFonts w:ascii="宋体" w:hAnsi="宋体" w:cs="宋体"/>
                <w:b/>
                <w:bCs/>
                <w:sz w:val="24"/>
              </w:rPr>
            </w:r>
            <w:r/>
          </w:p>
        </w:tc>
        <w:tc>
          <w:tcPr>
            <w:tcW w:w="891" w:type="dxa"/>
            <w:vAlign w:val="center"/>
            <w:textDirection w:val="lrTb"/>
            <w:noWrap w:val="false"/>
          </w:tcPr>
          <w:p>
            <w:pPr>
              <w:pStyle w:val="895"/>
              <w:jc w:val="center"/>
              <w:spacing w:line="360" w:lineRule="auto"/>
              <w:widowControl/>
              <w:rPr>
                <w:rFonts w:hint="eastAsia" w:ascii="宋体" w:hAnsi="宋体" w:cs="宋体"/>
                <w:sz w:val="24"/>
              </w:rPr>
            </w:pPr>
            <w:r>
              <w:rPr>
                <w:rFonts w:hint="eastAsia" w:ascii="宋体" w:hAnsi="宋体" w:cs="宋体"/>
                <w:sz w:val="24"/>
              </w:rPr>
            </w:r>
            <w:r/>
          </w:p>
        </w:tc>
        <w:tc>
          <w:tcPr>
            <w:tcW w:w="5713" w:type="dxa"/>
            <w:vAlign w:val="center"/>
            <w:textDirection w:val="lrTb"/>
            <w:noWrap w:val="false"/>
          </w:tcPr>
          <w:p>
            <w:pPr>
              <w:pStyle w:val="895"/>
              <w:numPr>
                <w:ilvl w:val="0"/>
                <w:numId w:val="10"/>
              </w:numPr>
              <w:jc w:val="left"/>
              <w:spacing w:line="360" w:lineRule="auto"/>
              <w:widowControl/>
              <w:rPr>
                <w:rFonts w:hint="eastAsia" w:ascii="宋体" w:hAnsi="宋体" w:cs="宋体"/>
                <w:sz w:val="24"/>
              </w:rPr>
            </w:pPr>
            <w:r>
              <w:rPr>
                <w:rFonts w:hint="eastAsia" w:ascii="宋体" w:hAnsi="宋体" w:cs="宋体"/>
                <w:sz w:val="24"/>
              </w:rPr>
              <w:t xml:space="preserve">在驾驶室和医疗舱相应的位置预留通讯系统的电源接线柱和安装监控设备及GPS天线的空线孔。</w:t>
            </w:r>
            <w:r>
              <w:rPr>
                <w:rFonts w:hint="eastAsia" w:ascii="宋体" w:hAnsi="宋体" w:cs="宋体"/>
                <w:sz w:val="24"/>
              </w:rPr>
            </w:r>
            <w:r/>
          </w:p>
          <w:p>
            <w:pPr>
              <w:pStyle w:val="895"/>
              <w:numPr>
                <w:ilvl w:val="0"/>
                <w:numId w:val="10"/>
              </w:numPr>
              <w:jc w:val="left"/>
              <w:spacing w:line="360" w:lineRule="auto"/>
              <w:widowControl/>
              <w:rPr>
                <w:rFonts w:hint="eastAsia" w:ascii="宋体" w:hAnsi="宋体" w:cs="宋体"/>
                <w:sz w:val="24"/>
              </w:rPr>
            </w:pPr>
            <w:r>
              <w:rPr>
                <w:rFonts w:hint="eastAsia" w:ascii="宋体" w:hAnsi="宋体"/>
                <w:color w:val="000000"/>
                <w:sz w:val="24"/>
              </w:rPr>
              <w:t xml:space="preserve">应配有对讲系统，可实现驾驶舱与医疗舱前后对讲、医疗舱可实现单向对讲控制，保证医疗舱隐私，双向对讲音量可调。</w:t>
            </w:r>
            <w:r>
              <w:rPr>
                <w:rFonts w:hint="eastAsia" w:ascii="宋体" w:hAnsi="宋体" w:cs="宋体"/>
                <w:sz w:val="24"/>
              </w:rPr>
            </w:r>
            <w:r/>
          </w:p>
        </w:tc>
      </w:tr>
      <w:tr>
        <w:trPr/>
        <w:tc>
          <w:tcPr>
            <w:tcW w:w="966" w:type="dxa"/>
            <w:vAlign w:val="center"/>
            <w:textDirection w:val="lrTb"/>
            <w:noWrap w:val="false"/>
          </w:tcPr>
          <w:p>
            <w:pPr>
              <w:pStyle w:val="895"/>
              <w:jc w:val="center"/>
              <w:spacing w:line="360" w:lineRule="auto"/>
              <w:widowControl/>
              <w:rPr>
                <w:rFonts w:hint="eastAsia" w:ascii="宋体" w:hAnsi="宋体" w:cs="宋体"/>
                <w:b/>
                <w:bCs/>
                <w:sz w:val="24"/>
              </w:rPr>
            </w:pPr>
            <w:r>
              <w:rPr>
                <w:rFonts w:hint="eastAsia" w:ascii="宋体" w:hAnsi="宋体" w:cs="Arial"/>
                <w:b/>
                <w:bCs/>
                <w:sz w:val="24"/>
              </w:rPr>
              <w:t xml:space="preserve">十二</w:t>
            </w:r>
            <w:r>
              <w:rPr>
                <w:rFonts w:hint="eastAsia" w:ascii="宋体" w:hAnsi="宋体" w:cs="宋体"/>
                <w:b/>
                <w:bCs/>
                <w:sz w:val="24"/>
              </w:rPr>
            </w:r>
            <w:r/>
          </w:p>
        </w:tc>
        <w:tc>
          <w:tcPr>
            <w:tcW w:w="1138" w:type="dxa"/>
            <w:vAlign w:val="center"/>
            <w:textDirection w:val="lrTb"/>
            <w:noWrap w:val="false"/>
          </w:tcPr>
          <w:p>
            <w:pPr>
              <w:pStyle w:val="895"/>
              <w:jc w:val="center"/>
              <w:spacing w:line="360" w:lineRule="auto"/>
              <w:widowControl/>
              <w:rPr>
                <w:rFonts w:ascii="宋体" w:hAnsi="宋体" w:cs="宋体"/>
                <w:b/>
                <w:bCs/>
                <w:sz w:val="24"/>
              </w:rPr>
            </w:pPr>
            <w:r>
              <w:rPr>
                <w:rFonts w:hint="eastAsia" w:ascii="宋体" w:hAnsi="宋体" w:cs="宋体"/>
                <w:b/>
                <w:bCs/>
                <w:sz w:val="24"/>
              </w:rPr>
              <w:t xml:space="preserve">自动上车担架</w:t>
            </w:r>
            <w:r>
              <w:rPr>
                <w:rFonts w:ascii="宋体" w:hAnsi="宋体" w:cs="宋体"/>
                <w:b/>
                <w:bCs/>
                <w:sz w:val="24"/>
              </w:rPr>
            </w:r>
            <w:r/>
          </w:p>
        </w:tc>
        <w:tc>
          <w:tcPr>
            <w:tcW w:w="891" w:type="dxa"/>
            <w:vAlign w:val="center"/>
            <w:textDirection w:val="lrTb"/>
            <w:noWrap w:val="false"/>
          </w:tcPr>
          <w:p>
            <w:pPr>
              <w:pStyle w:val="895"/>
              <w:jc w:val="center"/>
              <w:spacing w:line="360" w:lineRule="auto"/>
              <w:rPr>
                <w:rFonts w:ascii="宋体" w:hAnsi="宋体" w:cs="宋体"/>
                <w:sz w:val="24"/>
              </w:rPr>
            </w:pPr>
            <w:r>
              <w:rPr>
                <w:rFonts w:hint="eastAsia" w:ascii="宋体" w:hAnsi="宋体" w:cs="宋体"/>
                <w:sz w:val="24"/>
              </w:rPr>
              <w:t xml:space="preserve">每车配备一台，总共2台</w:t>
            </w:r>
            <w:r>
              <w:rPr>
                <w:rFonts w:ascii="宋体" w:hAnsi="宋体" w:cs="宋体"/>
                <w:sz w:val="24"/>
              </w:rPr>
            </w:r>
            <w:r/>
          </w:p>
          <w:p>
            <w:pPr>
              <w:pStyle w:val="895"/>
              <w:jc w:val="center"/>
              <w:spacing w:line="360" w:lineRule="auto"/>
              <w:rPr>
                <w:rFonts w:ascii="宋体" w:hAnsi="宋体" w:cs="宋体"/>
                <w:sz w:val="24"/>
              </w:rPr>
            </w:pPr>
            <w:r>
              <w:rPr>
                <w:rFonts w:ascii="宋体" w:hAnsi="宋体" w:cs="宋体"/>
                <w:sz w:val="24"/>
              </w:rPr>
            </w:r>
            <w:r/>
          </w:p>
        </w:tc>
        <w:tc>
          <w:tcPr>
            <w:tcW w:w="5713" w:type="dxa"/>
            <w:vAlign w:val="center"/>
            <w:textDirection w:val="lrTb"/>
            <w:noWrap w:val="false"/>
          </w:tcPr>
          <w:p>
            <w:pPr>
              <w:pStyle w:val="895"/>
              <w:jc w:val="left"/>
              <w:spacing w:line="360" w:lineRule="auto"/>
              <w:rPr>
                <w:rFonts w:hint="eastAsia" w:ascii="宋体" w:hAnsi="宋体" w:cs="宋体"/>
                <w:sz w:val="24"/>
              </w:rPr>
            </w:pPr>
            <w:r>
              <w:rPr>
                <w:rFonts w:hint="eastAsia" w:ascii="宋体" w:hAnsi="宋体" w:cs="宋体"/>
                <w:sz w:val="24"/>
              </w:rPr>
              <w:t xml:space="preserve">1、带有自动收折功能，上下救护车均可实现单人操控。</w:t>
            </w:r>
            <w:r>
              <w:rPr>
                <w:rFonts w:hint="eastAsia" w:ascii="宋体" w:hAnsi="宋体" w:cs="宋体"/>
                <w:sz w:val="24"/>
              </w:rPr>
            </w:r>
            <w:r/>
          </w:p>
          <w:p>
            <w:pPr>
              <w:pStyle w:val="895"/>
              <w:jc w:val="left"/>
              <w:spacing w:line="360" w:lineRule="auto"/>
              <w:rPr>
                <w:rFonts w:hint="eastAsia" w:ascii="宋体" w:hAnsi="宋体" w:cs="宋体"/>
                <w:sz w:val="24"/>
              </w:rPr>
            </w:pPr>
            <w:r>
              <w:rPr>
                <w:rFonts w:hint="eastAsia" w:ascii="宋体" w:hAnsi="宋体" w:cs="宋体"/>
                <w:sz w:val="24"/>
              </w:rPr>
              <w:t xml:space="preserve">2、主体框架结构设计，采用铬钢合金材质，外观采用银色镀铬工艺，经久耐用。</w:t>
            </w:r>
            <w:r>
              <w:rPr>
                <w:rFonts w:hint="eastAsia" w:ascii="宋体" w:hAnsi="宋体" w:cs="宋体"/>
                <w:sz w:val="24"/>
              </w:rPr>
            </w:r>
            <w:r/>
          </w:p>
          <w:p>
            <w:pPr>
              <w:pStyle w:val="895"/>
              <w:jc w:val="left"/>
              <w:spacing w:line="360" w:lineRule="auto"/>
              <w:rPr>
                <w:rFonts w:hint="eastAsia" w:ascii="宋体" w:hAnsi="宋体" w:cs="宋体"/>
                <w:sz w:val="24"/>
              </w:rPr>
            </w:pPr>
            <w:r>
              <w:rPr>
                <w:rFonts w:hint="eastAsia" w:ascii="宋体" w:hAnsi="宋体" w:cs="宋体"/>
                <w:sz w:val="24"/>
              </w:rPr>
              <w:t xml:space="preserve">3、担架各部位的连接采用尼龙装置，增加各部件的灵活性，提高稳定性及安全性。</w:t>
            </w:r>
            <w:r>
              <w:rPr>
                <w:rFonts w:hint="eastAsia" w:ascii="宋体" w:hAnsi="宋体" w:cs="宋体"/>
                <w:sz w:val="24"/>
              </w:rPr>
            </w:r>
            <w:r/>
          </w:p>
          <w:p>
            <w:pPr>
              <w:pStyle w:val="895"/>
              <w:jc w:val="left"/>
              <w:spacing w:line="360" w:lineRule="auto"/>
              <w:rPr>
                <w:rFonts w:hint="eastAsia" w:ascii="宋体" w:hAnsi="宋体" w:cs="宋体"/>
                <w:sz w:val="24"/>
              </w:rPr>
            </w:pPr>
            <w:r>
              <w:rPr>
                <w:rFonts w:hint="eastAsia" w:ascii="宋体" w:hAnsi="宋体" w:cs="宋体"/>
                <w:sz w:val="24"/>
              </w:rPr>
              <w:t xml:space="preserve">4、担架运行平稳，抗颠簸性强，碰撞时具有吸震补偿的效果。车轮直径≥200mm，双后轮360°转向，自带刹车系统，收折后具有自动收折回位功能。</w:t>
            </w:r>
            <w:r>
              <w:rPr>
                <w:rFonts w:hint="eastAsia" w:ascii="宋体" w:hAnsi="宋体" w:cs="宋体"/>
                <w:sz w:val="24"/>
              </w:rPr>
            </w:r>
            <w:r/>
          </w:p>
          <w:p>
            <w:pPr>
              <w:pStyle w:val="895"/>
              <w:jc w:val="left"/>
              <w:spacing w:line="360" w:lineRule="auto"/>
              <w:rPr>
                <w:rFonts w:hint="eastAsia" w:ascii="宋体" w:hAnsi="宋体" w:cs="宋体"/>
                <w:sz w:val="24"/>
              </w:rPr>
            </w:pPr>
            <w:r>
              <w:rPr>
                <w:rFonts w:hint="eastAsia" w:ascii="宋体" w:hAnsi="宋体" w:cs="宋体"/>
                <w:sz w:val="24"/>
              </w:rPr>
              <w:t xml:space="preserve">5、担架可缩短，确保狭窄空间易于使用。</w:t>
            </w:r>
            <w:r>
              <w:rPr>
                <w:rFonts w:hint="eastAsia" w:ascii="宋体" w:hAnsi="宋体" w:cs="宋体"/>
                <w:sz w:val="24"/>
              </w:rPr>
            </w:r>
            <w:r/>
          </w:p>
          <w:p>
            <w:pPr>
              <w:pStyle w:val="895"/>
              <w:jc w:val="left"/>
              <w:spacing w:line="360" w:lineRule="auto"/>
              <w:rPr>
                <w:rFonts w:hint="eastAsia" w:ascii="宋体" w:hAnsi="宋体" w:cs="宋体"/>
                <w:sz w:val="24"/>
              </w:rPr>
            </w:pPr>
            <w:r>
              <w:rPr>
                <w:rFonts w:hint="eastAsia" w:ascii="宋体" w:hAnsi="宋体" w:cs="宋体"/>
                <w:sz w:val="24"/>
              </w:rPr>
              <w:t xml:space="preserve">6、车辆匹配高度可调节，配备上车高度调节盘，适用于520-700mm医疗舱高度的不同救护车。</w:t>
            </w:r>
            <w:r>
              <w:rPr>
                <w:rFonts w:hint="eastAsia" w:ascii="宋体" w:hAnsi="宋体" w:cs="宋体"/>
                <w:sz w:val="24"/>
              </w:rPr>
            </w:r>
            <w:r/>
          </w:p>
          <w:p>
            <w:pPr>
              <w:pStyle w:val="895"/>
              <w:jc w:val="left"/>
              <w:spacing w:line="360" w:lineRule="auto"/>
              <w:rPr>
                <w:rFonts w:hint="eastAsia" w:ascii="宋体" w:hAnsi="宋体" w:cs="宋体"/>
                <w:sz w:val="24"/>
              </w:rPr>
            </w:pPr>
            <w:r>
              <w:rPr>
                <w:rFonts w:hint="eastAsia" w:ascii="宋体" w:hAnsi="宋体" w:cs="宋体"/>
                <w:sz w:val="24"/>
              </w:rPr>
              <w:t xml:space="preserve">7、承载式担架背板，可根据不同病情要求调整病员体位，九种模式可调；头部及上半身位置，0~75度可调，脚部0-15度可调。</w:t>
            </w:r>
            <w:r>
              <w:rPr>
                <w:rFonts w:hint="eastAsia" w:ascii="宋体" w:hAnsi="宋体" w:cs="宋体"/>
                <w:sz w:val="24"/>
              </w:rPr>
            </w:r>
            <w:r/>
          </w:p>
          <w:p>
            <w:pPr>
              <w:pStyle w:val="895"/>
              <w:jc w:val="left"/>
              <w:spacing w:line="360" w:lineRule="auto"/>
              <w:rPr>
                <w:rFonts w:hint="eastAsia" w:ascii="宋体" w:hAnsi="宋体" w:cs="宋体"/>
                <w:sz w:val="24"/>
              </w:rPr>
            </w:pPr>
            <w:r>
              <w:rPr>
                <w:rFonts w:hint="eastAsia" w:ascii="宋体" w:hAnsi="宋体" w:cs="宋体"/>
                <w:sz w:val="24"/>
              </w:rPr>
              <w:t xml:space="preserve">8、收折后的担架，床面高度≤400mm；四点对称的支撑轮，提高担架抗车辆颠簸能力，病人舒适度高。</w:t>
            </w:r>
            <w:r>
              <w:rPr>
                <w:rFonts w:hint="eastAsia" w:ascii="宋体" w:hAnsi="宋体" w:cs="宋体"/>
                <w:sz w:val="24"/>
              </w:rPr>
            </w:r>
            <w:r/>
          </w:p>
          <w:p>
            <w:pPr>
              <w:pStyle w:val="895"/>
              <w:jc w:val="left"/>
              <w:spacing w:line="360" w:lineRule="auto"/>
              <w:rPr>
                <w:rFonts w:hint="eastAsia" w:ascii="宋体" w:hAnsi="宋体" w:cs="宋体"/>
                <w:sz w:val="24"/>
              </w:rPr>
            </w:pPr>
            <w:r>
              <w:rPr>
                <w:rFonts w:hint="eastAsia" w:ascii="宋体" w:hAnsi="宋体" w:cs="宋体"/>
                <w:sz w:val="24"/>
              </w:rPr>
              <w:t xml:space="preserve">9、担架打开时前后轮之间轴距≥1150mm，保证担架在运行过程中的稳定性。</w:t>
            </w:r>
            <w:r>
              <w:rPr>
                <w:rFonts w:hint="eastAsia" w:ascii="宋体" w:hAnsi="宋体" w:cs="宋体"/>
                <w:sz w:val="24"/>
              </w:rPr>
            </w:r>
            <w:r/>
          </w:p>
          <w:p>
            <w:pPr>
              <w:pStyle w:val="895"/>
              <w:jc w:val="left"/>
              <w:spacing w:line="360" w:lineRule="auto"/>
              <w:rPr>
                <w:rFonts w:hint="eastAsia" w:ascii="宋体" w:hAnsi="宋体" w:cs="宋体"/>
                <w:sz w:val="24"/>
              </w:rPr>
            </w:pPr>
            <w:r>
              <w:rPr>
                <w:rFonts w:hint="eastAsia" w:ascii="宋体" w:hAnsi="宋体" w:cs="宋体"/>
                <w:sz w:val="24"/>
              </w:rPr>
              <w:t xml:space="preserve">★10、担架病人头侧的前腿具备打开锁定后有监测以及声音灯光报警功能。</w:t>
            </w:r>
            <w:r>
              <w:rPr>
                <w:rFonts w:hint="eastAsia" w:ascii="宋体" w:hAnsi="宋体" w:cs="宋体"/>
                <w:sz w:val="24"/>
              </w:rPr>
            </w:r>
            <w:r/>
          </w:p>
          <w:p>
            <w:pPr>
              <w:pStyle w:val="895"/>
              <w:jc w:val="left"/>
              <w:spacing w:line="360" w:lineRule="auto"/>
              <w:rPr>
                <w:rFonts w:hint="eastAsia" w:ascii="宋体" w:hAnsi="宋体" w:cs="宋体"/>
                <w:sz w:val="24"/>
              </w:rPr>
            </w:pPr>
            <w:r>
              <w:rPr>
                <w:rFonts w:hint="eastAsia" w:ascii="宋体" w:hAnsi="宋体" w:cs="宋体"/>
                <w:sz w:val="24"/>
              </w:rPr>
              <w:t xml:space="preserve">11、担架配有可调节式儿童固定装置，适用于4-20kg儿童的转运；可配置于成人转运床垫上一起使用；</w:t>
            </w:r>
            <w:r>
              <w:rPr>
                <w:rFonts w:hint="eastAsia" w:ascii="宋体" w:hAnsi="宋体" w:cs="宋体"/>
                <w:sz w:val="24"/>
              </w:rPr>
            </w:r>
            <w:r/>
          </w:p>
          <w:p>
            <w:pPr>
              <w:pStyle w:val="895"/>
              <w:jc w:val="left"/>
              <w:spacing w:line="360" w:lineRule="auto"/>
              <w:rPr>
                <w:rFonts w:hint="eastAsia" w:ascii="宋体" w:hAnsi="宋体" w:cs="宋体"/>
                <w:sz w:val="24"/>
              </w:rPr>
            </w:pPr>
            <w:r>
              <w:rPr>
                <w:rFonts w:hint="eastAsia" w:ascii="宋体" w:hAnsi="宋体" w:cs="宋体"/>
                <w:sz w:val="24"/>
              </w:rPr>
              <w:t xml:space="preserve">12、担架尺寸：标准长度≥1970mm，最短≤1465mm（床面），宽度≥570mm。</w:t>
            </w:r>
            <w:r>
              <w:rPr>
                <w:rFonts w:hint="eastAsia" w:ascii="宋体" w:hAnsi="宋体" w:cs="宋体"/>
                <w:sz w:val="24"/>
              </w:rPr>
            </w:r>
            <w:r/>
          </w:p>
          <w:p>
            <w:pPr>
              <w:pStyle w:val="895"/>
              <w:jc w:val="left"/>
              <w:spacing w:line="360" w:lineRule="auto"/>
              <w:rPr>
                <w:rFonts w:hint="eastAsia" w:ascii="宋体" w:hAnsi="宋体" w:cs="宋体"/>
                <w:sz w:val="24"/>
              </w:rPr>
            </w:pPr>
            <w:r>
              <w:rPr>
                <w:rFonts w:hint="eastAsia" w:ascii="宋体" w:hAnsi="宋体" w:cs="宋体"/>
                <w:sz w:val="24"/>
              </w:rPr>
              <w:t xml:space="preserve">13、荷载能力：≥170KG</w:t>
            </w:r>
            <w:r>
              <w:rPr>
                <w:rFonts w:hint="eastAsia" w:ascii="宋体" w:hAnsi="宋体" w:cs="宋体"/>
                <w:sz w:val="24"/>
              </w:rPr>
            </w:r>
            <w:r/>
          </w:p>
          <w:p>
            <w:pPr>
              <w:pStyle w:val="895"/>
              <w:jc w:val="left"/>
              <w:spacing w:line="360" w:lineRule="auto"/>
              <w:rPr>
                <w:rFonts w:hint="eastAsia" w:ascii="宋体" w:hAnsi="宋体" w:cs="宋体"/>
                <w:sz w:val="24"/>
              </w:rPr>
            </w:pPr>
            <w:r>
              <w:rPr>
                <w:rFonts w:hint="eastAsia" w:ascii="宋体" w:hAnsi="宋体" w:cs="宋体"/>
                <w:sz w:val="24"/>
              </w:rPr>
              <w:t xml:space="preserve">14、自身重量：≤45KG</w:t>
            </w:r>
            <w:r>
              <w:rPr>
                <w:rFonts w:hint="eastAsia" w:ascii="宋体" w:hAnsi="宋体" w:cs="宋体"/>
                <w:sz w:val="24"/>
              </w:rPr>
            </w:r>
            <w:r/>
          </w:p>
          <w:p>
            <w:pPr>
              <w:pStyle w:val="895"/>
              <w:jc w:val="left"/>
              <w:spacing w:line="360" w:lineRule="auto"/>
              <w:rPr>
                <w:rFonts w:hint="eastAsia" w:ascii="宋体" w:hAnsi="宋体" w:cs="宋体"/>
                <w:sz w:val="24"/>
              </w:rPr>
            </w:pPr>
            <w:r>
              <w:rPr>
                <w:rFonts w:hint="eastAsia" w:ascii="宋体" w:hAnsi="宋体" w:cs="宋体"/>
                <w:sz w:val="24"/>
              </w:rPr>
              <w:t xml:space="preserve">15、配置：担架床主体*1、一体式固定装置*1、床垫*1、可调节金属卡扣式安全带*2、儿童固定装置*1、前腿锁定监测装置*1。</w:t>
            </w:r>
            <w:r>
              <w:rPr>
                <w:rFonts w:hint="eastAsia" w:ascii="宋体" w:hAnsi="宋体" w:cs="宋体"/>
                <w:sz w:val="24"/>
              </w:rPr>
            </w:r>
            <w:r/>
          </w:p>
          <w:p>
            <w:pPr>
              <w:pStyle w:val="895"/>
              <w:jc w:val="left"/>
              <w:spacing w:line="360" w:lineRule="auto"/>
              <w:rPr>
                <w:rFonts w:hint="eastAsia" w:ascii="宋体" w:hAnsi="宋体" w:cs="宋体"/>
                <w:sz w:val="24"/>
              </w:rPr>
            </w:pPr>
            <w:r>
              <w:rPr>
                <w:rFonts w:hint="eastAsia" w:ascii="宋体" w:hAnsi="宋体" w:cs="宋体"/>
                <w:sz w:val="24"/>
              </w:rPr>
              <w:t xml:space="preserve">16、产品在国内具有良好的售后服务体系，提供生产厂家售后服务承诺书；国内设有零配件仓库，享受3年质保服务。</w:t>
            </w:r>
            <w:r>
              <w:rPr>
                <w:rFonts w:hint="eastAsia" w:ascii="宋体" w:hAnsi="宋体" w:cs="宋体"/>
                <w:sz w:val="24"/>
              </w:rPr>
            </w:r>
            <w:r/>
          </w:p>
          <w:p>
            <w:pPr>
              <w:pStyle w:val="895"/>
              <w:jc w:val="left"/>
              <w:spacing w:line="360" w:lineRule="auto"/>
              <w:widowControl/>
              <w:rPr>
                <w:rFonts w:ascii="宋体" w:hAnsi="宋体" w:cs="宋体"/>
                <w:sz w:val="24"/>
              </w:rPr>
            </w:pPr>
            <w:r>
              <w:rPr>
                <w:rFonts w:ascii="宋体" w:hAnsi="宋体" w:cs="宋体"/>
                <w:sz w:val="24"/>
              </w:rPr>
            </w:r>
            <w:r/>
          </w:p>
        </w:tc>
      </w:tr>
      <w:tr>
        <w:trPr/>
        <w:tc>
          <w:tcPr>
            <w:tcW w:w="966" w:type="dxa"/>
            <w:vAlign w:val="center"/>
            <w:textDirection w:val="lrTb"/>
            <w:noWrap w:val="false"/>
          </w:tcPr>
          <w:p>
            <w:pPr>
              <w:pStyle w:val="895"/>
              <w:jc w:val="center"/>
              <w:spacing w:line="360" w:lineRule="auto"/>
              <w:widowControl/>
              <w:rPr>
                <w:rFonts w:hint="eastAsia" w:ascii="宋体" w:hAnsi="宋体" w:cs="Arial"/>
                <w:b/>
                <w:bCs/>
                <w:sz w:val="24"/>
              </w:rPr>
            </w:pPr>
            <w:r>
              <w:rPr>
                <w:rFonts w:hint="eastAsia" w:ascii="宋体" w:hAnsi="宋体" w:cs="Arial"/>
                <w:b/>
                <w:bCs/>
                <w:sz w:val="24"/>
              </w:rPr>
              <w:t xml:space="preserve">十三</w:t>
            </w:r>
            <w:r>
              <w:rPr>
                <w:rFonts w:hint="eastAsia" w:ascii="宋体" w:hAnsi="宋体" w:cs="Arial"/>
                <w:b/>
                <w:bCs/>
                <w:sz w:val="24"/>
              </w:rPr>
            </w:r>
            <w:r/>
          </w:p>
        </w:tc>
        <w:tc>
          <w:tcPr>
            <w:tcW w:w="1138" w:type="dxa"/>
            <w:vAlign w:val="center"/>
            <w:textDirection w:val="lrTb"/>
            <w:noWrap w:val="false"/>
          </w:tcPr>
          <w:p>
            <w:pPr>
              <w:pStyle w:val="895"/>
              <w:jc w:val="center"/>
              <w:spacing w:line="360" w:lineRule="auto"/>
              <w:widowControl/>
              <w:rPr>
                <w:rFonts w:ascii="宋体" w:hAnsi="宋体" w:cs="宋体"/>
                <w:b/>
                <w:bCs/>
                <w:sz w:val="24"/>
              </w:rPr>
            </w:pPr>
            <w:r>
              <w:rPr>
                <w:rFonts w:hint="eastAsia" w:ascii="宋体" w:hAnsi="宋体" w:cs="宋体"/>
                <w:b/>
                <w:bCs/>
                <w:sz w:val="24"/>
              </w:rPr>
              <w:t xml:space="preserve">铲式担架</w:t>
            </w:r>
            <w:r>
              <w:rPr>
                <w:rFonts w:ascii="宋体" w:hAnsi="宋体" w:cs="宋体"/>
                <w:b/>
                <w:bCs/>
                <w:sz w:val="24"/>
              </w:rPr>
            </w:r>
            <w:r/>
          </w:p>
        </w:tc>
        <w:tc>
          <w:tcPr>
            <w:tcW w:w="891" w:type="dxa"/>
            <w:vAlign w:val="center"/>
            <w:textDirection w:val="lrTb"/>
            <w:noWrap w:val="false"/>
          </w:tcPr>
          <w:p>
            <w:pPr>
              <w:pStyle w:val="895"/>
              <w:jc w:val="center"/>
              <w:rPr>
                <w:rFonts w:hint="eastAsia" w:ascii="宋体" w:hAnsi="宋体" w:cs="宋体"/>
                <w:sz w:val="24"/>
              </w:rPr>
            </w:pPr>
            <w:r>
              <w:rPr>
                <w:rFonts w:hint="eastAsia" w:ascii="宋体"/>
                <w:sz w:val="24"/>
              </w:rPr>
              <w:t xml:space="preserve">每车配备1付，共2付</w:t>
            </w:r>
            <w:r>
              <w:rPr>
                <w:rFonts w:hint="eastAsia" w:ascii="宋体" w:hAnsi="宋体" w:cs="宋体"/>
                <w:sz w:val="24"/>
              </w:rPr>
            </w:r>
            <w:r/>
          </w:p>
        </w:tc>
        <w:tc>
          <w:tcPr>
            <w:tcW w:w="5713" w:type="dxa"/>
            <w:vAlign w:val="center"/>
            <w:textDirection w:val="lrTb"/>
            <w:noWrap w:val="false"/>
          </w:tcPr>
          <w:p>
            <w:pPr>
              <w:pStyle w:val="895"/>
              <w:jc w:val="left"/>
              <w:rPr>
                <w:rFonts w:hint="eastAsia" w:ascii="宋体" w:hAnsi="宋体" w:cs="宋体"/>
                <w:sz w:val="24"/>
              </w:rPr>
            </w:pPr>
            <w:r>
              <w:rPr>
                <w:rFonts w:hint="eastAsia" w:ascii="宋体"/>
                <w:sz w:val="24"/>
              </w:rPr>
              <w:t xml:space="preserve">1</w:t>
            </w:r>
            <w:r>
              <w:rPr>
                <w:rFonts w:hint="eastAsia" w:ascii="宋体" w:hAnsi="宋体" w:cs="宋体"/>
                <w:sz w:val="24"/>
              </w:rPr>
              <w:t xml:space="preserve">、规格：承重：≥200Kg，</w:t>
            </w:r>
            <w:r>
              <w:rPr>
                <w:rFonts w:hint="eastAsia" w:ascii="宋体" w:hAnsi="宋体" w:cs="宋体"/>
                <w:sz w:val="24"/>
              </w:rPr>
            </w:r>
            <w:r/>
          </w:p>
          <w:p>
            <w:pPr>
              <w:pStyle w:val="895"/>
              <w:jc w:val="left"/>
              <w:rPr>
                <w:rFonts w:hint="eastAsia" w:ascii="宋体" w:hAnsi="宋体" w:cs="宋体"/>
                <w:sz w:val="24"/>
              </w:rPr>
            </w:pPr>
            <w:r>
              <w:rPr>
                <w:rFonts w:hint="eastAsia" w:ascii="宋体" w:hAnsi="宋体" w:cs="宋体"/>
                <w:sz w:val="24"/>
              </w:rPr>
              <w:t xml:space="preserve">2、净重：≤4.7kg，产品尺寸：≤1723×436×73mm，</w:t>
            </w:r>
            <w:r>
              <w:rPr>
                <w:rFonts w:hint="eastAsia" w:ascii="宋体" w:hAnsi="宋体" w:cs="宋体"/>
                <w:sz w:val="24"/>
              </w:rPr>
            </w:r>
            <w:r/>
          </w:p>
          <w:p>
            <w:pPr>
              <w:pStyle w:val="895"/>
              <w:jc w:val="left"/>
              <w:rPr>
                <w:rFonts w:hint="eastAsia" w:ascii="宋体" w:hAnsi="宋体" w:cs="宋体"/>
                <w:sz w:val="24"/>
              </w:rPr>
            </w:pPr>
            <w:r>
              <w:rPr>
                <w:rFonts w:hint="eastAsia" w:ascii="宋体" w:hAnsi="宋体" w:cs="宋体"/>
                <w:sz w:val="24"/>
              </w:rPr>
              <w:t xml:space="preserve">3、折叠尺寸≤1195×436×73mm，展开后长可扩展为≥2080mm</w:t>
            </w:r>
            <w:r>
              <w:rPr>
                <w:rFonts w:hint="eastAsia" w:ascii="宋体" w:hAnsi="宋体" w:cs="宋体"/>
                <w:sz w:val="24"/>
              </w:rPr>
            </w:r>
            <w:r/>
          </w:p>
          <w:p>
            <w:pPr>
              <w:pStyle w:val="895"/>
              <w:jc w:val="left"/>
              <w:rPr>
                <w:rFonts w:hint="eastAsia" w:ascii="宋体" w:hAnsi="宋体" w:cs="宋体"/>
                <w:sz w:val="24"/>
              </w:rPr>
            </w:pPr>
            <w:r>
              <w:rPr>
                <w:rFonts w:hint="eastAsia" w:ascii="宋体" w:hAnsi="宋体" w:cs="宋体"/>
                <w:sz w:val="24"/>
              </w:rPr>
              <w:t xml:space="preserve">★4、采用整体碳纤维工艺，具有坚固、自重更轻、承重更大、使用寿命更长、轻便和能进CT、X光、核磁影像，可用于院前急救及院内转运。</w:t>
            </w:r>
            <w:r>
              <w:rPr>
                <w:rFonts w:hint="eastAsia" w:ascii="宋体" w:hAnsi="宋体" w:cs="宋体"/>
                <w:sz w:val="24"/>
              </w:rPr>
            </w:r>
            <w:r/>
          </w:p>
          <w:p>
            <w:pPr>
              <w:pStyle w:val="895"/>
              <w:jc w:val="left"/>
              <w:spacing w:line="360" w:lineRule="auto"/>
              <w:widowControl/>
              <w:rPr>
                <w:rFonts w:hint="eastAsia" w:ascii="宋体" w:hAnsi="宋体"/>
                <w:sz w:val="24"/>
              </w:rPr>
            </w:pPr>
            <w:r>
              <w:rPr>
                <w:rFonts w:hint="eastAsia" w:ascii="宋体" w:hAnsi="宋体"/>
                <w:sz w:val="24"/>
              </w:rPr>
            </w:r>
            <w:r/>
          </w:p>
        </w:tc>
      </w:tr>
      <w:tr>
        <w:trPr/>
        <w:tc>
          <w:tcPr>
            <w:tcW w:w="966" w:type="dxa"/>
            <w:vAlign w:val="center"/>
            <w:textDirection w:val="lrTb"/>
            <w:noWrap w:val="false"/>
          </w:tcPr>
          <w:p>
            <w:pPr>
              <w:pStyle w:val="895"/>
              <w:jc w:val="center"/>
              <w:spacing w:line="360" w:lineRule="auto"/>
              <w:widowControl/>
              <w:rPr>
                <w:rFonts w:hint="eastAsia" w:ascii="宋体" w:hAnsi="宋体" w:cs="宋体"/>
                <w:b/>
                <w:bCs/>
                <w:sz w:val="24"/>
              </w:rPr>
            </w:pPr>
            <w:r>
              <w:rPr>
                <w:rFonts w:hint="eastAsia" w:ascii="宋体" w:hAnsi="宋体" w:cs="Arial"/>
                <w:b/>
                <w:bCs/>
                <w:sz w:val="24"/>
              </w:rPr>
              <w:t xml:space="preserve">十四</w:t>
            </w:r>
            <w:r>
              <w:rPr>
                <w:rFonts w:hint="eastAsia" w:ascii="宋体" w:hAnsi="宋体" w:cs="宋体"/>
                <w:b/>
                <w:bCs/>
                <w:sz w:val="24"/>
              </w:rPr>
            </w:r>
            <w:r/>
          </w:p>
        </w:tc>
        <w:tc>
          <w:tcPr>
            <w:tcW w:w="1138" w:type="dxa"/>
            <w:vAlign w:val="center"/>
            <w:textDirection w:val="lrTb"/>
            <w:noWrap w:val="false"/>
          </w:tcPr>
          <w:p>
            <w:pPr>
              <w:pStyle w:val="895"/>
              <w:jc w:val="center"/>
              <w:spacing w:line="360" w:lineRule="auto"/>
              <w:widowControl/>
              <w:rPr>
                <w:rFonts w:ascii="宋体" w:hAnsi="宋体" w:cs="宋体"/>
                <w:b/>
                <w:bCs/>
                <w:sz w:val="24"/>
              </w:rPr>
            </w:pPr>
            <w:r>
              <w:rPr>
                <w:rFonts w:hint="eastAsia" w:ascii="宋体" w:hAnsi="宋体" w:cs="宋体"/>
                <w:b/>
                <w:bCs/>
                <w:sz w:val="24"/>
              </w:rPr>
              <w:t xml:space="preserve">电动楼梯担架</w:t>
            </w:r>
            <w:r>
              <w:rPr>
                <w:rFonts w:ascii="宋体" w:hAnsi="宋体" w:cs="宋体"/>
                <w:b/>
                <w:bCs/>
                <w:sz w:val="24"/>
              </w:rPr>
            </w:r>
            <w:r/>
          </w:p>
        </w:tc>
        <w:tc>
          <w:tcPr>
            <w:tcW w:w="891" w:type="dxa"/>
            <w:vAlign w:val="center"/>
            <w:textDirection w:val="lrTb"/>
            <w:noWrap w:val="false"/>
          </w:tcPr>
          <w:p>
            <w:pPr>
              <w:pStyle w:val="895"/>
              <w:jc w:val="center"/>
              <w:rPr>
                <w:rFonts w:hint="eastAsia" w:ascii="宋体"/>
                <w:sz w:val="24"/>
              </w:rPr>
            </w:pPr>
            <w:r>
              <w:rPr>
                <w:rFonts w:hint="eastAsia" w:ascii="宋体"/>
                <w:sz w:val="24"/>
              </w:rPr>
              <w:t xml:space="preserve">1台</w:t>
            </w:r>
            <w:r>
              <w:rPr>
                <w:rFonts w:hint="eastAsia" w:ascii="宋体"/>
                <w:sz w:val="24"/>
              </w:rPr>
            </w:r>
            <w:r/>
          </w:p>
        </w:tc>
        <w:tc>
          <w:tcPr>
            <w:tcW w:w="5713" w:type="dxa"/>
            <w:vAlign w:val="center"/>
            <w:textDirection w:val="lrTb"/>
            <w:noWrap w:val="false"/>
          </w:tcPr>
          <w:p>
            <w:pPr>
              <w:pStyle w:val="895"/>
              <w:numPr>
                <w:ilvl w:val="0"/>
                <w:numId w:val="11"/>
              </w:numPr>
              <w:jc w:val="left"/>
              <w:rPr>
                <w:rFonts w:ascii="宋体"/>
                <w:sz w:val="24"/>
              </w:rPr>
            </w:pPr>
            <w:r>
              <w:rPr>
                <w:rFonts w:hint="eastAsia" w:ascii="宋体"/>
                <w:sz w:val="24"/>
              </w:rPr>
              <w:t xml:space="preserve">担架整体采用铝合金材料，外观为荧光黄具有醒目警示功能。</w:t>
            </w:r>
            <w:r>
              <w:rPr>
                <w:rFonts w:ascii="宋体"/>
                <w:sz w:val="24"/>
              </w:rPr>
            </w:r>
            <w:r/>
          </w:p>
          <w:p>
            <w:pPr>
              <w:pStyle w:val="895"/>
              <w:numPr>
                <w:ilvl w:val="0"/>
                <w:numId w:val="11"/>
              </w:numPr>
              <w:jc w:val="left"/>
              <w:rPr>
                <w:rFonts w:ascii="宋体"/>
                <w:sz w:val="24"/>
              </w:rPr>
            </w:pPr>
            <w:r>
              <w:rPr>
                <w:rFonts w:hint="eastAsia" w:ascii="宋体"/>
                <w:sz w:val="24"/>
              </w:rPr>
              <w:t xml:space="preserve">采用发泡一体扶手，且扶手角度可调，以适应不同身高的患者。</w:t>
            </w:r>
            <w:r>
              <w:rPr>
                <w:rFonts w:ascii="宋体"/>
                <w:sz w:val="24"/>
              </w:rPr>
            </w:r>
            <w:r/>
          </w:p>
          <w:p>
            <w:pPr>
              <w:pStyle w:val="895"/>
              <w:numPr>
                <w:ilvl w:val="0"/>
                <w:numId w:val="11"/>
              </w:numPr>
              <w:jc w:val="left"/>
              <w:rPr>
                <w:rFonts w:ascii="宋体"/>
                <w:sz w:val="24"/>
              </w:rPr>
            </w:pPr>
            <w:r>
              <w:rPr>
                <w:rFonts w:hint="eastAsia" w:ascii="宋体"/>
                <w:sz w:val="24"/>
              </w:rPr>
              <w:t xml:space="preserve">履带角度具有多个角度可调，以适用不同倾角的楼梯，使操作轻快且安全。</w:t>
            </w:r>
            <w:r>
              <w:rPr>
                <w:rFonts w:ascii="宋体"/>
                <w:sz w:val="24"/>
              </w:rPr>
            </w:r>
            <w:r/>
          </w:p>
          <w:p>
            <w:pPr>
              <w:pStyle w:val="895"/>
              <w:numPr>
                <w:ilvl w:val="0"/>
                <w:numId w:val="11"/>
              </w:numPr>
              <w:jc w:val="left"/>
              <w:rPr>
                <w:rFonts w:ascii="宋体"/>
                <w:sz w:val="24"/>
              </w:rPr>
            </w:pPr>
            <w:r>
              <w:rPr>
                <w:rFonts w:hint="eastAsia" w:ascii="宋体"/>
                <w:sz w:val="24"/>
              </w:rPr>
              <w:t xml:space="preserve">配备医用静音轮，前轮为万向轮，直径10cm；后轮直径15cm，且具备刹车功能。</w:t>
            </w:r>
            <w:r>
              <w:rPr>
                <w:rFonts w:ascii="宋体"/>
                <w:sz w:val="24"/>
              </w:rPr>
            </w:r>
            <w:r/>
          </w:p>
          <w:p>
            <w:pPr>
              <w:pStyle w:val="895"/>
              <w:numPr>
                <w:ilvl w:val="0"/>
                <w:numId w:val="11"/>
              </w:numPr>
              <w:jc w:val="left"/>
              <w:rPr>
                <w:rFonts w:ascii="宋体"/>
                <w:sz w:val="24"/>
              </w:rPr>
            </w:pPr>
            <w:r>
              <w:rPr>
                <w:rFonts w:hint="eastAsia" w:ascii="宋体"/>
                <w:sz w:val="24"/>
              </w:rPr>
              <w:t xml:space="preserve">采用PVC防水坐垫靠背头靠垫，轻便且易清洁。</w:t>
            </w:r>
            <w:r>
              <w:rPr>
                <w:rFonts w:ascii="宋体"/>
                <w:sz w:val="24"/>
              </w:rPr>
            </w:r>
            <w:r/>
          </w:p>
          <w:p>
            <w:pPr>
              <w:pStyle w:val="895"/>
              <w:numPr>
                <w:ilvl w:val="0"/>
                <w:numId w:val="11"/>
              </w:numPr>
              <w:jc w:val="left"/>
              <w:rPr>
                <w:rFonts w:ascii="宋体"/>
                <w:sz w:val="24"/>
              </w:rPr>
            </w:pPr>
            <w:r>
              <w:rPr>
                <w:rFonts w:hint="eastAsia" w:ascii="宋体"/>
                <w:sz w:val="24"/>
              </w:rPr>
              <w:t xml:space="preserve">配备带显示屏的控制器，具有电池电量显示和速度三挡可调的功能。且具备向下的灯光功能，便于在光线不足条件下的操作。</w:t>
            </w:r>
            <w:r>
              <w:rPr>
                <w:rFonts w:ascii="宋体"/>
                <w:sz w:val="24"/>
              </w:rPr>
            </w:r>
            <w:r/>
          </w:p>
          <w:p>
            <w:pPr>
              <w:pStyle w:val="895"/>
              <w:numPr>
                <w:ilvl w:val="0"/>
                <w:numId w:val="11"/>
              </w:numPr>
              <w:jc w:val="left"/>
              <w:rPr>
                <w:rFonts w:ascii="宋体"/>
                <w:sz w:val="24"/>
              </w:rPr>
            </w:pPr>
            <w:r>
              <w:rPr>
                <w:rFonts w:hint="eastAsia" w:ascii="宋体"/>
                <w:sz w:val="24"/>
              </w:rPr>
              <w:t xml:space="preserve">前后配备抬把手，便于应急条件下进行搬抬。</w:t>
            </w:r>
            <w:r>
              <w:rPr>
                <w:rFonts w:ascii="宋体"/>
                <w:sz w:val="24"/>
              </w:rPr>
            </w:r>
            <w:r/>
          </w:p>
          <w:p>
            <w:pPr>
              <w:pStyle w:val="895"/>
              <w:numPr>
                <w:ilvl w:val="0"/>
                <w:numId w:val="11"/>
              </w:numPr>
              <w:jc w:val="left"/>
              <w:rPr>
                <w:rFonts w:ascii="宋体"/>
                <w:sz w:val="24"/>
              </w:rPr>
            </w:pPr>
            <w:r>
              <w:rPr>
                <w:rFonts w:hint="eastAsia" w:ascii="宋体"/>
                <w:sz w:val="24"/>
              </w:rPr>
              <w:t xml:space="preserve">配备脚踏，提高转运时患者脚部的稳定性。</w:t>
            </w:r>
            <w:r>
              <w:rPr>
                <w:rFonts w:ascii="宋体"/>
                <w:sz w:val="24"/>
              </w:rPr>
            </w:r>
            <w:r/>
          </w:p>
          <w:p>
            <w:pPr>
              <w:pStyle w:val="895"/>
              <w:numPr>
                <w:ilvl w:val="0"/>
                <w:numId w:val="11"/>
              </w:numPr>
              <w:jc w:val="left"/>
              <w:rPr>
                <w:rFonts w:ascii="宋体"/>
                <w:sz w:val="24"/>
              </w:rPr>
            </w:pPr>
            <w:r>
              <w:rPr>
                <w:rFonts w:hint="eastAsia" w:ascii="宋体"/>
                <w:sz w:val="24"/>
              </w:rPr>
              <w:t xml:space="preserve">电机：200W，无刷电机技术。</w:t>
            </w:r>
            <w:r>
              <w:rPr>
                <w:rFonts w:ascii="宋体"/>
                <w:sz w:val="24"/>
              </w:rPr>
            </w:r>
            <w:r/>
          </w:p>
          <w:p>
            <w:pPr>
              <w:pStyle w:val="895"/>
              <w:numPr>
                <w:ilvl w:val="0"/>
                <w:numId w:val="11"/>
              </w:numPr>
              <w:jc w:val="left"/>
              <w:rPr>
                <w:rFonts w:ascii="宋体"/>
                <w:sz w:val="24"/>
              </w:rPr>
            </w:pPr>
            <w:r>
              <w:rPr>
                <w:rFonts w:hint="eastAsia" w:ascii="宋体"/>
                <w:sz w:val="24"/>
              </w:rPr>
              <w:t xml:space="preserve">电池：锂电池24V，13A。</w:t>
            </w:r>
            <w:r>
              <w:rPr>
                <w:rFonts w:ascii="宋体"/>
                <w:sz w:val="24"/>
              </w:rPr>
            </w:r>
            <w:r/>
          </w:p>
          <w:p>
            <w:pPr>
              <w:pStyle w:val="895"/>
              <w:numPr>
                <w:ilvl w:val="0"/>
                <w:numId w:val="11"/>
              </w:numPr>
              <w:jc w:val="left"/>
              <w:rPr>
                <w:rFonts w:ascii="宋体"/>
                <w:sz w:val="24"/>
              </w:rPr>
            </w:pPr>
            <w:r>
              <w:rPr>
                <w:rFonts w:hint="eastAsia" w:ascii="宋体"/>
                <w:sz w:val="24"/>
              </w:rPr>
              <w:t xml:space="preserve">长：68cm~110cm。</w:t>
            </w:r>
            <w:r>
              <w:rPr>
                <w:rFonts w:ascii="宋体"/>
                <w:sz w:val="24"/>
              </w:rPr>
            </w:r>
            <w:r/>
          </w:p>
          <w:p>
            <w:pPr>
              <w:pStyle w:val="895"/>
              <w:numPr>
                <w:ilvl w:val="0"/>
                <w:numId w:val="11"/>
              </w:numPr>
              <w:jc w:val="left"/>
              <w:rPr>
                <w:rFonts w:hint="eastAsia" w:ascii="宋体"/>
                <w:sz w:val="24"/>
              </w:rPr>
            </w:pPr>
            <w:r>
              <w:rPr>
                <w:rFonts w:hint="eastAsia" w:ascii="宋体"/>
                <w:sz w:val="24"/>
              </w:rPr>
              <w:t xml:space="preserve">宽≤56cm。</w:t>
            </w:r>
            <w:r>
              <w:rPr>
                <w:rFonts w:hint="eastAsia" w:ascii="宋体"/>
                <w:sz w:val="24"/>
              </w:rPr>
            </w:r>
            <w:r/>
          </w:p>
          <w:p>
            <w:pPr>
              <w:pStyle w:val="895"/>
              <w:numPr>
                <w:ilvl w:val="0"/>
                <w:numId w:val="11"/>
              </w:numPr>
              <w:jc w:val="left"/>
              <w:rPr>
                <w:rFonts w:hint="eastAsia" w:ascii="宋体"/>
                <w:sz w:val="24"/>
              </w:rPr>
            </w:pPr>
            <w:r>
              <w:rPr>
                <w:rFonts w:hint="eastAsia" w:ascii="宋体"/>
                <w:sz w:val="24"/>
              </w:rPr>
              <w:t xml:space="preserve">高：100cm~150cm。</w:t>
            </w:r>
            <w:r>
              <w:rPr>
                <w:rFonts w:hint="eastAsia" w:ascii="宋体"/>
                <w:sz w:val="24"/>
              </w:rPr>
            </w:r>
            <w:r/>
          </w:p>
          <w:p>
            <w:pPr>
              <w:pStyle w:val="895"/>
              <w:numPr>
                <w:ilvl w:val="0"/>
                <w:numId w:val="11"/>
              </w:numPr>
              <w:jc w:val="left"/>
              <w:rPr>
                <w:rFonts w:hint="eastAsia" w:ascii="宋体"/>
                <w:sz w:val="24"/>
              </w:rPr>
            </w:pPr>
            <w:r>
              <w:rPr>
                <w:rFonts w:hint="eastAsia" w:ascii="宋体"/>
                <w:sz w:val="24"/>
              </w:rPr>
              <w:t xml:space="preserve">折叠厚度≤32cm。</w:t>
            </w:r>
            <w:r>
              <w:rPr>
                <w:rFonts w:hint="eastAsia" w:ascii="宋体"/>
                <w:sz w:val="24"/>
              </w:rPr>
            </w:r>
            <w:r/>
          </w:p>
          <w:p>
            <w:pPr>
              <w:pStyle w:val="895"/>
              <w:numPr>
                <w:ilvl w:val="0"/>
                <w:numId w:val="11"/>
              </w:numPr>
              <w:jc w:val="left"/>
              <w:rPr>
                <w:rFonts w:hint="eastAsia" w:ascii="宋体"/>
                <w:sz w:val="24"/>
              </w:rPr>
            </w:pPr>
            <w:r>
              <w:rPr>
                <w:rFonts w:hint="eastAsia" w:ascii="宋体"/>
                <w:sz w:val="24"/>
              </w:rPr>
              <w:t xml:space="preserve">净重≤29kg。</w:t>
            </w:r>
            <w:r>
              <w:rPr>
                <w:rFonts w:hint="eastAsia" w:ascii="宋体"/>
                <w:sz w:val="24"/>
              </w:rPr>
            </w:r>
            <w:r/>
          </w:p>
          <w:p>
            <w:pPr>
              <w:pStyle w:val="895"/>
              <w:numPr>
                <w:ilvl w:val="0"/>
                <w:numId w:val="11"/>
              </w:numPr>
              <w:jc w:val="left"/>
              <w:rPr>
                <w:rFonts w:hint="eastAsia" w:ascii="宋体"/>
                <w:sz w:val="24"/>
              </w:rPr>
            </w:pPr>
            <w:r>
              <w:rPr>
                <w:rFonts w:hint="eastAsia" w:ascii="宋体"/>
                <w:sz w:val="24"/>
              </w:rPr>
              <w:t xml:space="preserve">载重≥159。</w:t>
            </w:r>
            <w:r>
              <w:rPr>
                <w:rFonts w:hint="eastAsia" w:ascii="宋体"/>
                <w:sz w:val="24"/>
              </w:rPr>
            </w:r>
            <w:r/>
          </w:p>
          <w:p>
            <w:pPr>
              <w:pStyle w:val="895"/>
              <w:jc w:val="left"/>
              <w:spacing w:line="360" w:lineRule="auto"/>
              <w:widowControl/>
              <w:rPr>
                <w:rFonts w:hint="eastAsia" w:ascii="宋体" w:hAnsi="宋体"/>
                <w:sz w:val="24"/>
              </w:rPr>
            </w:pPr>
            <w:r>
              <w:rPr>
                <w:rFonts w:hint="eastAsia" w:ascii="宋体" w:hAnsi="宋体"/>
                <w:sz w:val="24"/>
              </w:rPr>
            </w:r>
            <w:r/>
          </w:p>
        </w:tc>
      </w:tr>
      <w:tr>
        <w:trPr/>
        <w:tc>
          <w:tcPr>
            <w:tcW w:w="966" w:type="dxa"/>
            <w:vAlign w:val="center"/>
            <w:textDirection w:val="lrTb"/>
            <w:noWrap w:val="false"/>
          </w:tcPr>
          <w:p>
            <w:pPr>
              <w:pStyle w:val="895"/>
              <w:jc w:val="center"/>
              <w:spacing w:line="360" w:lineRule="auto"/>
              <w:widowControl/>
              <w:rPr>
                <w:rFonts w:hint="eastAsia" w:ascii="宋体" w:hAnsi="宋体" w:cs="Arial"/>
                <w:b/>
                <w:bCs/>
                <w:sz w:val="24"/>
              </w:rPr>
            </w:pPr>
            <w:r>
              <w:rPr>
                <w:rFonts w:hint="eastAsia" w:ascii="宋体" w:hAnsi="宋体" w:cs="Arial"/>
                <w:b/>
                <w:bCs/>
                <w:sz w:val="24"/>
              </w:rPr>
              <w:t xml:space="preserve">十五</w:t>
            </w:r>
            <w:r>
              <w:rPr>
                <w:rFonts w:hint="eastAsia" w:ascii="宋体" w:hAnsi="宋体" w:cs="Arial"/>
                <w:b/>
                <w:bCs/>
                <w:sz w:val="24"/>
              </w:rPr>
            </w:r>
            <w:r/>
          </w:p>
        </w:tc>
        <w:tc>
          <w:tcPr>
            <w:tcW w:w="1138" w:type="dxa"/>
            <w:vAlign w:val="center"/>
            <w:textDirection w:val="lrTb"/>
            <w:noWrap w:val="false"/>
          </w:tcPr>
          <w:p>
            <w:pPr>
              <w:pStyle w:val="895"/>
              <w:jc w:val="center"/>
              <w:spacing w:line="360" w:lineRule="auto"/>
              <w:widowControl/>
              <w:rPr>
                <w:rFonts w:ascii="宋体" w:hAnsi="宋体"/>
                <w:b/>
                <w:bCs/>
                <w:sz w:val="24"/>
              </w:rPr>
            </w:pPr>
            <w:r>
              <w:rPr>
                <w:rFonts w:hint="eastAsia" w:ascii="宋体" w:hAnsi="宋体"/>
                <w:b/>
                <w:bCs/>
                <w:sz w:val="24"/>
              </w:rPr>
              <w:t xml:space="preserve">软担架</w:t>
            </w:r>
            <w:r>
              <w:rPr>
                <w:rFonts w:ascii="宋体" w:hAnsi="宋体"/>
                <w:b/>
                <w:bCs/>
                <w:sz w:val="24"/>
              </w:rPr>
            </w:r>
            <w:r/>
          </w:p>
        </w:tc>
        <w:tc>
          <w:tcPr>
            <w:tcW w:w="891" w:type="dxa"/>
            <w:vAlign w:val="center"/>
            <w:textDirection w:val="lrTb"/>
            <w:noWrap w:val="false"/>
          </w:tcPr>
          <w:p>
            <w:pPr>
              <w:pStyle w:val="895"/>
              <w:jc w:val="center"/>
              <w:rPr>
                <w:rFonts w:ascii="宋体"/>
                <w:sz w:val="24"/>
              </w:rPr>
            </w:pPr>
            <w:r>
              <w:rPr>
                <w:rFonts w:hint="eastAsia" w:ascii="宋体"/>
                <w:sz w:val="24"/>
              </w:rPr>
              <w:t xml:space="preserve">每车配备5付，共</w:t>
            </w:r>
            <w:r>
              <w:rPr>
                <w:rFonts w:ascii="宋体"/>
                <w:sz w:val="24"/>
              </w:rPr>
            </w:r>
            <w:r/>
          </w:p>
          <w:p>
            <w:pPr>
              <w:pStyle w:val="895"/>
              <w:jc w:val="center"/>
              <w:rPr>
                <w:rFonts w:hint="eastAsia" w:ascii="宋体"/>
                <w:sz w:val="24"/>
              </w:rPr>
            </w:pPr>
            <w:r>
              <w:rPr>
                <w:rFonts w:hint="eastAsia" w:ascii="宋体"/>
                <w:sz w:val="24"/>
              </w:rPr>
              <w:t xml:space="preserve">10付</w:t>
            </w:r>
            <w:r>
              <w:rPr>
                <w:rFonts w:hint="eastAsia" w:ascii="宋体"/>
                <w:sz w:val="24"/>
              </w:rPr>
            </w:r>
            <w:r/>
          </w:p>
        </w:tc>
        <w:tc>
          <w:tcPr>
            <w:tcW w:w="5713" w:type="dxa"/>
            <w:vAlign w:val="center"/>
            <w:textDirection w:val="lrTb"/>
            <w:noWrap w:val="false"/>
          </w:tcPr>
          <w:p>
            <w:pPr>
              <w:pStyle w:val="895"/>
              <w:numPr>
                <w:ilvl w:val="0"/>
                <w:numId w:val="12"/>
              </w:numPr>
              <w:jc w:val="left"/>
              <w:rPr>
                <w:rFonts w:hint="eastAsia" w:ascii="宋体" w:hAnsi="宋体" w:cs="宋体"/>
                <w:sz w:val="24"/>
              </w:rPr>
            </w:pPr>
            <w:r>
              <w:rPr>
                <w:rFonts w:hint="eastAsia" w:ascii="宋体" w:hAnsi="宋体" w:cs="宋体"/>
                <w:sz w:val="24"/>
              </w:rPr>
              <w:t xml:space="preserve">两侧各配备4个把手，头脚位各1个，共计10个搬抬把手，提升转运方式的可选择性。</w:t>
            </w:r>
            <w:r>
              <w:rPr>
                <w:rFonts w:hint="eastAsia" w:ascii="宋体" w:hAnsi="宋体" w:cs="宋体"/>
                <w:sz w:val="24"/>
              </w:rPr>
            </w:r>
            <w:r/>
          </w:p>
          <w:p>
            <w:pPr>
              <w:pStyle w:val="895"/>
              <w:jc w:val="left"/>
              <w:rPr>
                <w:rFonts w:hint="eastAsia" w:ascii="宋体" w:hAnsi="宋体" w:cs="宋体"/>
                <w:sz w:val="24"/>
              </w:rPr>
            </w:pPr>
            <w:r>
              <w:rPr>
                <w:rFonts w:hint="eastAsia" w:ascii="宋体" w:hAnsi="宋体" w:cs="宋体"/>
                <w:sz w:val="24"/>
              </w:rPr>
              <w:t xml:space="preserve">2.担架含有6个额外增加的锚点，两侧各3个，肩带卡扣可拆卸。</w:t>
            </w:r>
            <w:r>
              <w:rPr>
                <w:rFonts w:hint="eastAsia" w:ascii="宋体" w:hAnsi="宋体" w:cs="宋体"/>
                <w:sz w:val="24"/>
              </w:rPr>
            </w:r>
            <w:r/>
          </w:p>
          <w:p>
            <w:pPr>
              <w:pStyle w:val="895"/>
              <w:jc w:val="left"/>
              <w:rPr>
                <w:rFonts w:hint="eastAsia" w:ascii="宋体" w:hAnsi="宋体" w:cs="宋体"/>
                <w:sz w:val="24"/>
              </w:rPr>
            </w:pPr>
            <w:r>
              <w:rPr>
                <w:rFonts w:hint="eastAsia" w:ascii="宋体" w:hAnsi="宋体" w:cs="宋体"/>
                <w:sz w:val="24"/>
              </w:rPr>
              <w:t xml:space="preserve">3. 配备两根肩部安全带，将核心重量转移到救援人员的肩部，减少腰肌劳损的风险，肩带锁扣采用航空铝材质，单扣承重≥500kg。</w:t>
            </w:r>
            <w:r>
              <w:rPr>
                <w:rFonts w:hint="eastAsia" w:ascii="宋体" w:hAnsi="宋体" w:cs="宋体"/>
                <w:sz w:val="24"/>
              </w:rPr>
            </w:r>
            <w:r/>
          </w:p>
          <w:p>
            <w:pPr>
              <w:pStyle w:val="895"/>
              <w:jc w:val="left"/>
              <w:rPr>
                <w:rFonts w:hint="eastAsia" w:ascii="宋体" w:hAnsi="宋体" w:cs="宋体"/>
                <w:sz w:val="24"/>
              </w:rPr>
            </w:pPr>
            <w:r>
              <w:rPr>
                <w:rFonts w:hint="eastAsia" w:ascii="宋体" w:hAnsi="宋体" w:cs="宋体"/>
                <w:sz w:val="24"/>
              </w:rPr>
              <w:t xml:space="preserve">4. 所有的把手及锚点的带子均为整体贯穿，更结实牢固。</w:t>
            </w:r>
            <w:r>
              <w:rPr>
                <w:rFonts w:hint="eastAsia" w:ascii="宋体" w:hAnsi="宋体" w:cs="宋体"/>
                <w:sz w:val="24"/>
              </w:rPr>
            </w:r>
            <w:r/>
          </w:p>
          <w:p>
            <w:pPr>
              <w:pStyle w:val="895"/>
              <w:jc w:val="left"/>
              <w:rPr>
                <w:rFonts w:hint="eastAsia" w:ascii="宋体" w:hAnsi="宋体" w:cs="宋体"/>
                <w:sz w:val="24"/>
              </w:rPr>
            </w:pPr>
            <w:r>
              <w:rPr>
                <w:rFonts w:hint="eastAsia" w:ascii="宋体" w:hAnsi="宋体" w:cs="宋体"/>
                <w:sz w:val="24"/>
              </w:rPr>
              <w:t xml:space="preserve">5. 软担架尺寸为≥185*72cm。</w:t>
            </w:r>
            <w:r>
              <w:rPr>
                <w:rFonts w:hint="eastAsia" w:ascii="宋体" w:hAnsi="宋体" w:cs="宋体"/>
                <w:sz w:val="24"/>
              </w:rPr>
            </w:r>
            <w:r/>
          </w:p>
          <w:p>
            <w:pPr>
              <w:pStyle w:val="895"/>
              <w:jc w:val="left"/>
              <w:rPr>
                <w:rFonts w:hint="eastAsia" w:ascii="宋体" w:hAnsi="宋体" w:cs="宋体"/>
                <w:sz w:val="24"/>
              </w:rPr>
            </w:pPr>
            <w:r>
              <w:rPr>
                <w:rFonts w:hint="eastAsia" w:ascii="宋体" w:hAnsi="宋体" w:cs="宋体"/>
                <w:sz w:val="24"/>
              </w:rPr>
              <w:t xml:space="preserve">6. 背面整体带有一圈荧光条，起到区分正反面以及提高在昏暗环境下转运的安全性。</w:t>
            </w:r>
            <w:r>
              <w:rPr>
                <w:rFonts w:hint="eastAsia" w:ascii="宋体" w:hAnsi="宋体" w:cs="宋体"/>
                <w:sz w:val="24"/>
              </w:rPr>
            </w:r>
            <w:r/>
          </w:p>
          <w:p>
            <w:pPr>
              <w:pStyle w:val="895"/>
              <w:jc w:val="left"/>
              <w:rPr>
                <w:rFonts w:ascii="宋体"/>
                <w:sz w:val="24"/>
              </w:rPr>
            </w:pPr>
            <w:r>
              <w:rPr>
                <w:rFonts w:ascii="宋体"/>
                <w:sz w:val="24"/>
              </w:rPr>
            </w:r>
            <w:r/>
          </w:p>
          <w:p>
            <w:pPr>
              <w:pStyle w:val="895"/>
              <w:jc w:val="left"/>
              <w:spacing w:line="360" w:lineRule="auto"/>
              <w:widowControl/>
              <w:rPr>
                <w:rFonts w:hint="eastAsia" w:ascii="宋体" w:hAnsi="宋体"/>
                <w:sz w:val="24"/>
              </w:rPr>
            </w:pPr>
            <w:r>
              <w:rPr>
                <w:rFonts w:hint="eastAsia" w:ascii="宋体" w:hAnsi="宋体"/>
                <w:sz w:val="24"/>
              </w:rPr>
            </w:r>
            <w:r/>
          </w:p>
        </w:tc>
      </w:tr>
      <w:tr>
        <w:trPr/>
        <w:tc>
          <w:tcPr>
            <w:tcW w:w="966" w:type="dxa"/>
            <w:vAlign w:val="center"/>
            <w:textDirection w:val="lrTb"/>
            <w:noWrap w:val="false"/>
          </w:tcPr>
          <w:p>
            <w:pPr>
              <w:pStyle w:val="895"/>
              <w:jc w:val="center"/>
              <w:spacing w:line="360" w:lineRule="auto"/>
              <w:widowControl/>
              <w:rPr>
                <w:rFonts w:hint="eastAsia" w:ascii="宋体" w:hAnsi="宋体" w:cs="Arial"/>
                <w:b/>
                <w:bCs/>
                <w:sz w:val="24"/>
              </w:rPr>
            </w:pPr>
            <w:r>
              <w:rPr>
                <w:rFonts w:hint="eastAsia" w:ascii="宋体" w:hAnsi="宋体" w:cs="Arial"/>
                <w:b/>
                <w:bCs/>
                <w:sz w:val="24"/>
              </w:rPr>
              <w:t xml:space="preserve">十六</w:t>
            </w:r>
            <w:r>
              <w:rPr>
                <w:rFonts w:hint="eastAsia" w:ascii="宋体" w:hAnsi="宋体" w:cs="Arial"/>
                <w:b/>
                <w:bCs/>
                <w:sz w:val="24"/>
              </w:rPr>
            </w:r>
            <w:r/>
          </w:p>
        </w:tc>
        <w:tc>
          <w:tcPr>
            <w:tcW w:w="1138" w:type="dxa"/>
            <w:vAlign w:val="center"/>
            <w:textDirection w:val="lrTb"/>
            <w:noWrap w:val="false"/>
          </w:tcPr>
          <w:p>
            <w:pPr>
              <w:pStyle w:val="895"/>
              <w:jc w:val="center"/>
              <w:spacing w:line="360" w:lineRule="auto"/>
              <w:widowControl/>
              <w:rPr>
                <w:rFonts w:ascii="宋体" w:hAnsi="宋体"/>
                <w:b/>
                <w:bCs/>
                <w:sz w:val="24"/>
              </w:rPr>
            </w:pPr>
            <w:r>
              <w:rPr>
                <w:rFonts w:hint="eastAsia" w:ascii="宋体" w:hAnsi="宋体"/>
                <w:b/>
                <w:bCs/>
                <w:sz w:val="24"/>
              </w:rPr>
              <w:t xml:space="preserve">车载紫外消毒器</w:t>
            </w:r>
            <w:r>
              <w:rPr>
                <w:rFonts w:ascii="宋体" w:hAnsi="宋体"/>
                <w:b/>
                <w:bCs/>
                <w:sz w:val="24"/>
              </w:rPr>
            </w:r>
            <w:r/>
          </w:p>
        </w:tc>
        <w:tc>
          <w:tcPr>
            <w:tcW w:w="891" w:type="dxa"/>
            <w:vAlign w:val="center"/>
            <w:textDirection w:val="lrTb"/>
            <w:noWrap w:val="false"/>
          </w:tcPr>
          <w:p>
            <w:pPr>
              <w:pStyle w:val="895"/>
              <w:jc w:val="center"/>
              <w:rPr>
                <w:rFonts w:hint="eastAsia" w:ascii="宋体"/>
                <w:sz w:val="24"/>
              </w:rPr>
            </w:pPr>
            <w:r>
              <w:rPr>
                <w:rFonts w:hint="eastAsia" w:ascii="宋体"/>
                <w:sz w:val="24"/>
              </w:rPr>
              <w:t xml:space="preserve">每车配备1台，共2台</w:t>
            </w:r>
            <w:r>
              <w:rPr>
                <w:rFonts w:hint="eastAsia" w:ascii="宋体"/>
                <w:sz w:val="24"/>
              </w:rPr>
            </w:r>
            <w:r/>
          </w:p>
          <w:p>
            <w:pPr>
              <w:pStyle w:val="895"/>
              <w:jc w:val="center"/>
              <w:rPr>
                <w:rFonts w:hint="eastAsia" w:ascii="宋体"/>
                <w:sz w:val="24"/>
              </w:rPr>
            </w:pPr>
            <w:r>
              <w:rPr>
                <w:rFonts w:hint="eastAsia" w:ascii="宋体"/>
                <w:sz w:val="24"/>
              </w:rPr>
            </w:r>
            <w:r/>
          </w:p>
        </w:tc>
        <w:tc>
          <w:tcPr>
            <w:tcW w:w="5713" w:type="dxa"/>
            <w:vAlign w:val="center"/>
            <w:textDirection w:val="lrTb"/>
            <w:noWrap w:val="false"/>
          </w:tcPr>
          <w:p>
            <w:pPr>
              <w:pStyle w:val="895"/>
              <w:jc w:val="left"/>
              <w:spacing w:line="360" w:lineRule="auto"/>
              <w:widowControl/>
              <w:rPr>
                <w:rFonts w:hint="eastAsia" w:ascii="宋体" w:hAnsi="宋体"/>
                <w:sz w:val="24"/>
              </w:rPr>
            </w:pPr>
            <w:r>
              <w:rPr>
                <w:rFonts w:hint="eastAsia" w:ascii="宋体" w:hAnsi="宋体"/>
                <w:sz w:val="24"/>
              </w:rPr>
              <w:t xml:space="preserve">1.以222nm为中心波长的远紫外线用于物表和空气消毒</w:t>
            </w:r>
            <w:r>
              <w:rPr>
                <w:rFonts w:hint="eastAsia" w:ascii="宋体" w:hAnsi="宋体"/>
                <w:sz w:val="24"/>
              </w:rPr>
            </w:r>
            <w:r/>
          </w:p>
          <w:p>
            <w:pPr>
              <w:pStyle w:val="895"/>
              <w:jc w:val="left"/>
              <w:spacing w:line="360" w:lineRule="auto"/>
              <w:widowControl/>
              <w:rPr>
                <w:rFonts w:hint="eastAsia" w:ascii="宋体" w:hAnsi="宋体"/>
                <w:sz w:val="24"/>
              </w:rPr>
            </w:pPr>
            <w:r>
              <w:rPr>
                <w:rFonts w:hint="eastAsia" w:ascii="宋体" w:hAnsi="宋体"/>
                <w:sz w:val="24"/>
              </w:rPr>
              <w:t xml:space="preserve">2.工作电源：工作电源，额定功率：15W</w:t>
            </w:r>
            <w:r>
              <w:rPr>
                <w:rFonts w:hint="eastAsia" w:ascii="宋体" w:hAnsi="宋体"/>
                <w:sz w:val="24"/>
              </w:rPr>
            </w:r>
            <w:r/>
          </w:p>
          <w:p>
            <w:pPr>
              <w:pStyle w:val="895"/>
              <w:jc w:val="left"/>
              <w:spacing w:line="360" w:lineRule="auto"/>
              <w:widowControl/>
              <w:rPr>
                <w:rFonts w:hint="eastAsia" w:ascii="宋体" w:hAnsi="宋体"/>
                <w:sz w:val="24"/>
              </w:rPr>
            </w:pPr>
            <w:r>
              <w:rPr>
                <w:rFonts w:hint="eastAsia" w:ascii="宋体" w:hAnsi="宋体"/>
                <w:sz w:val="24"/>
              </w:rPr>
              <w:t xml:space="preserve">3.光源：Ushio Care222（氯化氪准分子灯）。</w:t>
            </w:r>
            <w:r>
              <w:rPr>
                <w:rFonts w:hint="eastAsia" w:ascii="宋体" w:hAnsi="宋体"/>
                <w:sz w:val="24"/>
              </w:rPr>
            </w:r>
            <w:r/>
          </w:p>
          <w:p>
            <w:pPr>
              <w:pStyle w:val="895"/>
              <w:jc w:val="left"/>
              <w:spacing w:line="360" w:lineRule="auto"/>
              <w:widowControl/>
              <w:rPr>
                <w:rFonts w:hint="eastAsia" w:ascii="宋体" w:hAnsi="宋体"/>
                <w:sz w:val="24"/>
              </w:rPr>
            </w:pPr>
            <w:r>
              <w:rPr>
                <w:rFonts w:hint="eastAsia" w:ascii="宋体" w:hAnsi="宋体"/>
                <w:sz w:val="24"/>
              </w:rPr>
              <w:t xml:space="preserve">4.滤波片：光学滤波片</w:t>
            </w:r>
            <w:r>
              <w:rPr>
                <w:rFonts w:hint="eastAsia" w:ascii="宋体" w:hAnsi="宋体"/>
                <w:sz w:val="24"/>
              </w:rPr>
            </w:r>
            <w:r/>
          </w:p>
          <w:p>
            <w:pPr>
              <w:pStyle w:val="895"/>
              <w:jc w:val="left"/>
              <w:spacing w:line="360" w:lineRule="auto"/>
              <w:widowControl/>
              <w:rPr>
                <w:rFonts w:hint="eastAsia" w:ascii="宋体" w:hAnsi="宋体"/>
                <w:b/>
                <w:sz w:val="24"/>
              </w:rPr>
            </w:pPr>
            <w:r>
              <w:rPr>
                <w:rFonts w:hint="eastAsia" w:ascii="宋体" w:hAnsi="宋体" w:cs="宋体"/>
                <w:color w:val="000000"/>
                <w:sz w:val="24"/>
                <w:szCs w:val="28"/>
              </w:rPr>
              <w:t xml:space="preserve">★</w:t>
            </w:r>
            <w:r>
              <w:rPr>
                <w:rFonts w:hint="eastAsia" w:ascii="宋体" w:hAnsi="宋体"/>
                <w:sz w:val="24"/>
              </w:rPr>
              <w:t xml:space="preserve">5.紫外线辐射照度：21uW/cm2（1米处）。</w:t>
            </w:r>
            <w:r>
              <w:rPr>
                <w:rFonts w:hint="eastAsia" w:ascii="宋体" w:hAnsi="宋体"/>
                <w:b/>
                <w:sz w:val="24"/>
              </w:rPr>
              <w:t xml:space="preserve">（提供CMA认证的第三方检测机构出具的检测报告，如果不提供的作无效投标处理）</w:t>
            </w:r>
            <w:r>
              <w:rPr>
                <w:rFonts w:hint="eastAsia" w:ascii="宋体" w:hAnsi="宋体"/>
                <w:b/>
                <w:sz w:val="24"/>
              </w:rPr>
            </w:r>
            <w:r/>
          </w:p>
          <w:p>
            <w:pPr>
              <w:pStyle w:val="895"/>
              <w:jc w:val="left"/>
              <w:spacing w:line="360" w:lineRule="auto"/>
              <w:widowControl/>
              <w:rPr>
                <w:rFonts w:hint="eastAsia" w:ascii="宋体" w:hAnsi="宋体"/>
                <w:sz w:val="24"/>
              </w:rPr>
            </w:pPr>
            <w:r>
              <w:rPr>
                <w:rFonts w:hint="eastAsia" w:ascii="宋体" w:hAnsi="宋体"/>
                <w:sz w:val="24"/>
              </w:rPr>
              <w:t xml:space="preserve">6.产品运行3分钟，实现对冠状病毒的杀灭率、大肠杆菌的杀灭率、金黄色葡萄球菌的杀灭率、绿脓杆菌的杀灭率可达到≥99.99%，对大肠杆菌的杀灭率≥99.9%</w:t>
            </w:r>
            <w:r>
              <w:rPr>
                <w:rFonts w:hint="eastAsia" w:ascii="宋体" w:hAnsi="宋体"/>
                <w:sz w:val="24"/>
              </w:rPr>
            </w:r>
            <w:r/>
          </w:p>
          <w:p>
            <w:pPr>
              <w:pStyle w:val="895"/>
              <w:jc w:val="left"/>
              <w:spacing w:line="360" w:lineRule="auto"/>
              <w:widowControl/>
              <w:rPr>
                <w:rFonts w:hint="eastAsia" w:ascii="宋体" w:hAnsi="宋体"/>
                <w:sz w:val="24"/>
              </w:rPr>
            </w:pPr>
            <w:r>
              <w:rPr>
                <w:rFonts w:hint="eastAsia" w:ascii="宋体" w:hAnsi="宋体"/>
                <w:sz w:val="24"/>
              </w:rPr>
              <w:t xml:space="preserve">7.主机尺寸：148.5mm*148.5mm*104.5 mm</w:t>
            </w:r>
            <w:r>
              <w:rPr>
                <w:rFonts w:hint="eastAsia" w:ascii="宋体" w:hAnsi="宋体"/>
                <w:sz w:val="24"/>
              </w:rPr>
            </w:r>
            <w:r/>
          </w:p>
          <w:p>
            <w:pPr>
              <w:pStyle w:val="895"/>
              <w:jc w:val="left"/>
              <w:spacing w:line="360" w:lineRule="auto"/>
              <w:widowControl/>
              <w:rPr>
                <w:rFonts w:hint="eastAsia" w:ascii="宋体" w:hAnsi="宋体"/>
                <w:sz w:val="24"/>
              </w:rPr>
            </w:pPr>
            <w:r>
              <w:rPr>
                <w:rFonts w:hint="eastAsia" w:ascii="宋体" w:hAnsi="宋体"/>
                <w:sz w:val="24"/>
              </w:rPr>
              <w:t xml:space="preserve">带底座尺寸：148.5mm*148.5mm*173mm</w:t>
            </w:r>
            <w:r>
              <w:rPr>
                <w:rFonts w:hint="eastAsia" w:ascii="宋体" w:hAnsi="宋体"/>
                <w:sz w:val="24"/>
              </w:rPr>
            </w:r>
            <w:r/>
          </w:p>
        </w:tc>
      </w:tr>
      <w:tr>
        <w:trPr/>
        <w:tc>
          <w:tcPr>
            <w:tcW w:w="966" w:type="dxa"/>
            <w:vAlign w:val="center"/>
            <w:textDirection w:val="lrTb"/>
            <w:noWrap w:val="false"/>
          </w:tcPr>
          <w:p>
            <w:pPr>
              <w:pStyle w:val="895"/>
              <w:jc w:val="center"/>
              <w:spacing w:line="360" w:lineRule="auto"/>
              <w:widowControl/>
              <w:rPr>
                <w:rFonts w:hint="eastAsia" w:ascii="宋体" w:hAnsi="宋体" w:cs="Arial"/>
                <w:b/>
                <w:bCs/>
                <w:sz w:val="24"/>
              </w:rPr>
            </w:pPr>
            <w:r>
              <w:rPr>
                <w:rFonts w:hint="eastAsia" w:ascii="宋体" w:hAnsi="宋体" w:cs="Arial"/>
                <w:b/>
                <w:bCs/>
                <w:sz w:val="24"/>
              </w:rPr>
              <w:t xml:space="preserve">十七</w:t>
            </w:r>
            <w:r>
              <w:rPr>
                <w:rFonts w:hint="eastAsia" w:ascii="宋体" w:hAnsi="宋体" w:cs="Arial"/>
                <w:b/>
                <w:bCs/>
                <w:sz w:val="24"/>
              </w:rPr>
            </w:r>
            <w:r/>
          </w:p>
        </w:tc>
        <w:tc>
          <w:tcPr>
            <w:tcW w:w="1138" w:type="dxa"/>
            <w:vAlign w:val="center"/>
            <w:textDirection w:val="lrTb"/>
            <w:noWrap w:val="false"/>
          </w:tcPr>
          <w:p>
            <w:pPr>
              <w:pStyle w:val="895"/>
              <w:jc w:val="center"/>
              <w:spacing w:line="360" w:lineRule="auto"/>
              <w:widowControl/>
              <w:rPr>
                <w:rFonts w:hint="eastAsia" w:ascii="宋体" w:hAnsi="宋体"/>
                <w:b/>
                <w:bCs/>
                <w:sz w:val="24"/>
              </w:rPr>
            </w:pPr>
            <w:r>
              <w:rPr>
                <w:rFonts w:hint="eastAsia" w:ascii="宋体" w:hAnsi="宋体"/>
                <w:b/>
                <w:bCs/>
                <w:sz w:val="24"/>
              </w:rPr>
              <w:t xml:space="preserve">心肺复苏机</w:t>
            </w:r>
            <w:r>
              <w:rPr>
                <w:rFonts w:hint="eastAsia" w:ascii="宋体" w:hAnsi="宋体"/>
                <w:b/>
                <w:bCs/>
                <w:sz w:val="24"/>
              </w:rPr>
            </w:r>
            <w:r/>
          </w:p>
        </w:tc>
        <w:tc>
          <w:tcPr>
            <w:tcW w:w="891" w:type="dxa"/>
            <w:vAlign w:val="center"/>
            <w:textDirection w:val="lrTb"/>
            <w:noWrap w:val="false"/>
          </w:tcPr>
          <w:p>
            <w:pPr>
              <w:pStyle w:val="895"/>
              <w:jc w:val="center"/>
              <w:spacing w:line="360" w:lineRule="auto"/>
              <w:widowControl/>
              <w:rPr>
                <w:rFonts w:hint="eastAsia" w:ascii="宋体"/>
                <w:sz w:val="24"/>
              </w:rPr>
            </w:pPr>
            <w:r>
              <w:rPr>
                <w:rFonts w:hint="eastAsia" w:ascii="宋体" w:hAnsi="宋体"/>
                <w:sz w:val="24"/>
              </w:rPr>
              <w:t xml:space="preserve">1台</w:t>
            </w:r>
            <w:r>
              <w:rPr>
                <w:rFonts w:hint="eastAsia" w:ascii="宋体"/>
                <w:sz w:val="24"/>
              </w:rPr>
            </w:r>
            <w:r/>
          </w:p>
        </w:tc>
        <w:tc>
          <w:tcPr>
            <w:tcW w:w="5713" w:type="dxa"/>
            <w:vAlign w:val="center"/>
            <w:textDirection w:val="lrTb"/>
            <w:noWrap w:val="false"/>
          </w:tcPr>
          <w:p>
            <w:pPr>
              <w:pStyle w:val="895"/>
              <w:jc w:val="left"/>
              <w:spacing w:line="360" w:lineRule="auto"/>
              <w:widowControl/>
              <w:rPr>
                <w:rFonts w:hint="eastAsia" w:ascii="宋体" w:hAnsi="宋体"/>
                <w:sz w:val="24"/>
              </w:rPr>
            </w:pPr>
            <w:r>
              <w:rPr>
                <w:rFonts w:hint="eastAsia" w:ascii="宋体" w:hAnsi="宋体"/>
                <w:sz w:val="24"/>
              </w:rPr>
              <w:t xml:space="preserve">1.按压技术：3D按压，采用结合胸泵机制和心泵机制、模拟心脏搏动心肺复苏技术，能比徒手CPR更高效率地改善血流动力学效应，减少复苏过程引起的损伤。</w:t>
            </w:r>
            <w:r>
              <w:rPr>
                <w:rFonts w:hint="eastAsia" w:ascii="宋体" w:hAnsi="宋体"/>
                <w:sz w:val="24"/>
              </w:rPr>
            </w:r>
            <w:r/>
          </w:p>
          <w:p>
            <w:pPr>
              <w:pStyle w:val="895"/>
              <w:jc w:val="left"/>
              <w:spacing w:line="360" w:lineRule="auto"/>
              <w:widowControl/>
              <w:rPr>
                <w:rFonts w:hint="eastAsia" w:ascii="宋体" w:hAnsi="宋体"/>
                <w:sz w:val="24"/>
              </w:rPr>
            </w:pPr>
            <w:r>
              <w:rPr>
                <w:rFonts w:hint="eastAsia" w:ascii="宋体" w:hAnsi="宋体"/>
                <w:sz w:val="24"/>
              </w:rPr>
              <w:t xml:space="preserve">2.按压频率：按压频率 ≥100次/分钟，调节档位≥3档可调。</w:t>
            </w:r>
            <w:r>
              <w:rPr>
                <w:rFonts w:hint="eastAsia" w:ascii="宋体" w:hAnsi="宋体"/>
                <w:sz w:val="24"/>
              </w:rPr>
            </w:r>
            <w:r/>
          </w:p>
          <w:p>
            <w:pPr>
              <w:pStyle w:val="895"/>
              <w:jc w:val="left"/>
              <w:spacing w:line="360" w:lineRule="auto"/>
              <w:widowControl/>
              <w:rPr>
                <w:rFonts w:hint="eastAsia" w:ascii="宋体" w:hAnsi="宋体"/>
                <w:sz w:val="24"/>
              </w:rPr>
            </w:pPr>
            <w:r>
              <w:rPr>
                <w:rFonts w:hint="eastAsia" w:ascii="宋体" w:hAnsi="宋体"/>
                <w:sz w:val="24"/>
              </w:rPr>
              <w:t xml:space="preserve">3.按压频率精度：按压频率范围100次/分钟至120次/分钟，误差为：±1 次/分钟。</w:t>
            </w:r>
            <w:r>
              <w:rPr>
                <w:rFonts w:hint="eastAsia" w:ascii="宋体" w:hAnsi="宋体"/>
                <w:sz w:val="24"/>
              </w:rPr>
            </w:r>
            <w:r/>
          </w:p>
          <w:p>
            <w:pPr>
              <w:pStyle w:val="895"/>
              <w:jc w:val="left"/>
              <w:spacing w:line="360" w:lineRule="auto"/>
              <w:widowControl/>
              <w:rPr>
                <w:rFonts w:hint="eastAsia" w:ascii="宋体" w:hAnsi="宋体"/>
                <w:sz w:val="24"/>
              </w:rPr>
            </w:pPr>
            <w:r>
              <w:rPr>
                <w:rFonts w:hint="eastAsia" w:ascii="宋体" w:hAnsi="宋体"/>
                <w:sz w:val="24"/>
              </w:rPr>
              <w:t xml:space="preserve">4.支持非水平按压，最大工作倾斜度：≥60°。</w:t>
            </w:r>
            <w:r>
              <w:rPr>
                <w:rFonts w:hint="eastAsia" w:ascii="宋体" w:hAnsi="宋体"/>
                <w:sz w:val="24"/>
              </w:rPr>
            </w:r>
            <w:r/>
          </w:p>
          <w:p>
            <w:pPr>
              <w:pStyle w:val="895"/>
              <w:jc w:val="left"/>
              <w:spacing w:line="360" w:lineRule="auto"/>
              <w:widowControl/>
              <w:rPr>
                <w:rFonts w:hint="eastAsia" w:ascii="宋体" w:hAnsi="宋体"/>
                <w:sz w:val="24"/>
              </w:rPr>
            </w:pPr>
            <w:r>
              <w:rPr>
                <w:rFonts w:hint="eastAsia" w:ascii="宋体" w:hAnsi="宋体"/>
                <w:sz w:val="24"/>
              </w:rPr>
              <w:t xml:space="preserve">5.电动电控，单块电池供电时间：新电池充满电的情况下，电池可以连续运行的时间≥60分钟。</w:t>
            </w:r>
            <w:r>
              <w:rPr>
                <w:rFonts w:hint="eastAsia" w:ascii="宋体" w:hAnsi="宋体"/>
                <w:sz w:val="24"/>
              </w:rPr>
            </w:r>
            <w:r/>
          </w:p>
          <w:p>
            <w:pPr>
              <w:pStyle w:val="895"/>
              <w:jc w:val="left"/>
              <w:spacing w:line="360" w:lineRule="auto"/>
              <w:widowControl/>
              <w:rPr>
                <w:rFonts w:hint="eastAsia" w:ascii="宋体" w:hAnsi="宋体"/>
                <w:sz w:val="24"/>
              </w:rPr>
            </w:pPr>
            <w:r>
              <w:rPr>
                <w:rFonts w:hint="eastAsia" w:ascii="宋体" w:hAnsi="宋体"/>
                <w:sz w:val="24"/>
              </w:rPr>
              <w:t xml:space="preserve">6.防电击类型分类：II 类外部电源供电的设备，具有双重绝缘或加强绝缘设计，无需专用接地线，满足紧急医疗服务环境中或移动的救护车内无地线环境使用；同时具备内部电源的供电设备</w:t>
            </w:r>
            <w:r>
              <w:rPr>
                <w:rFonts w:hint="eastAsia" w:ascii="宋体" w:hAnsi="宋体"/>
                <w:sz w:val="24"/>
              </w:rPr>
            </w:r>
            <w:r/>
          </w:p>
          <w:p>
            <w:pPr>
              <w:pStyle w:val="895"/>
              <w:jc w:val="left"/>
              <w:spacing w:line="360" w:lineRule="auto"/>
              <w:widowControl/>
              <w:rPr>
                <w:rFonts w:hint="eastAsia" w:ascii="宋体" w:hAnsi="宋体"/>
                <w:sz w:val="24"/>
              </w:rPr>
            </w:pPr>
            <w:r>
              <w:rPr>
                <w:rFonts w:hint="eastAsia" w:ascii="宋体" w:hAnsi="宋体"/>
                <w:sz w:val="24"/>
              </w:rPr>
              <w:t xml:space="preserve">7.最低持续工作温度：≤-10℃，满足寒冬野外急救需求。</w:t>
            </w:r>
            <w:r>
              <w:rPr>
                <w:rFonts w:hint="eastAsia" w:ascii="宋体" w:hAnsi="宋体"/>
                <w:sz w:val="24"/>
              </w:rPr>
            </w:r>
            <w:r/>
          </w:p>
          <w:p>
            <w:pPr>
              <w:pStyle w:val="895"/>
              <w:jc w:val="left"/>
              <w:spacing w:line="360" w:lineRule="auto"/>
              <w:widowControl/>
              <w:rPr>
                <w:rFonts w:hint="eastAsia" w:ascii="宋体" w:hAnsi="宋体"/>
                <w:sz w:val="24"/>
              </w:rPr>
            </w:pPr>
            <w:r>
              <w:rPr>
                <w:rFonts w:hint="eastAsia" w:ascii="宋体" w:hAnsi="宋体"/>
                <w:sz w:val="24"/>
              </w:rPr>
              <w:t xml:space="preserve">8.最高持续工作作温度：≥ +45℃，满足炎夏野外急救需求。</w:t>
            </w:r>
            <w:r>
              <w:rPr>
                <w:rFonts w:hint="eastAsia" w:ascii="宋体" w:hAnsi="宋体"/>
                <w:sz w:val="24"/>
              </w:rPr>
            </w:r>
            <w:r/>
          </w:p>
          <w:p>
            <w:pPr>
              <w:pStyle w:val="895"/>
              <w:jc w:val="left"/>
              <w:spacing w:line="360" w:lineRule="auto"/>
              <w:widowControl/>
              <w:rPr>
                <w:rFonts w:hint="eastAsia" w:ascii="宋体" w:hAnsi="宋体"/>
                <w:sz w:val="24"/>
              </w:rPr>
            </w:pPr>
            <w:r>
              <w:rPr>
                <w:rFonts w:hint="eastAsia" w:ascii="宋体" w:hAnsi="宋体"/>
                <w:sz w:val="24"/>
              </w:rPr>
              <w:t xml:space="preserve">9.防电击的程度分类：CF 型，应用部分可与患者心脏直接接触的使用。</w:t>
            </w:r>
            <w:r>
              <w:rPr>
                <w:rFonts w:hint="eastAsia" w:ascii="宋体" w:hAnsi="宋体"/>
                <w:sz w:val="24"/>
              </w:rPr>
            </w:r>
            <w:r/>
          </w:p>
          <w:p>
            <w:pPr>
              <w:pStyle w:val="895"/>
              <w:jc w:val="left"/>
              <w:spacing w:line="360" w:lineRule="auto"/>
              <w:widowControl/>
              <w:rPr>
                <w:rFonts w:hint="eastAsia" w:ascii="宋体" w:hAnsi="宋体"/>
                <w:sz w:val="24"/>
              </w:rPr>
            </w:pPr>
            <w:r>
              <w:rPr>
                <w:rFonts w:hint="eastAsia" w:ascii="宋体" w:hAnsi="宋体"/>
                <w:sz w:val="24"/>
              </w:rPr>
              <w:t xml:space="preserve">10.主机（含电池）重量：≤2.3Kg。</w:t>
            </w:r>
            <w:r>
              <w:rPr>
                <w:rFonts w:hint="eastAsia" w:ascii="宋体" w:hAnsi="宋体"/>
                <w:sz w:val="24"/>
              </w:rPr>
            </w:r>
            <w:r/>
          </w:p>
          <w:p>
            <w:pPr>
              <w:pStyle w:val="895"/>
              <w:jc w:val="left"/>
              <w:spacing w:line="360" w:lineRule="auto"/>
              <w:widowControl/>
              <w:rPr>
                <w:rFonts w:hint="eastAsia" w:ascii="宋体" w:hAnsi="宋体"/>
                <w:sz w:val="24"/>
              </w:rPr>
            </w:pPr>
            <w:r>
              <w:rPr>
                <w:rFonts w:hint="eastAsia" w:ascii="宋体" w:hAnsi="宋体" w:cs="宋体"/>
                <w:color w:val="000000"/>
                <w:sz w:val="24"/>
                <w:szCs w:val="28"/>
              </w:rPr>
              <w:t xml:space="preserve">★</w:t>
            </w:r>
            <w:r>
              <w:rPr>
                <w:rFonts w:hint="eastAsia" w:ascii="宋体" w:hAnsi="宋体"/>
                <w:sz w:val="24"/>
              </w:rPr>
              <w:t xml:space="preserve">11.主机高度≤17.6cm，便于在救护车和负压隔离仓内实施心肺复苏。</w:t>
            </w:r>
            <w:r>
              <w:rPr>
                <w:rFonts w:hint="eastAsia" w:ascii="宋体" w:hAnsi="宋体"/>
                <w:sz w:val="24"/>
              </w:rPr>
            </w:r>
            <w:r/>
          </w:p>
          <w:p>
            <w:pPr>
              <w:pStyle w:val="895"/>
              <w:jc w:val="left"/>
              <w:spacing w:line="360" w:lineRule="auto"/>
              <w:widowControl/>
              <w:rPr>
                <w:rFonts w:hint="eastAsia" w:ascii="宋体" w:hAnsi="宋体"/>
                <w:sz w:val="24"/>
              </w:rPr>
            </w:pPr>
            <w:r>
              <w:rPr>
                <w:rFonts w:hint="eastAsia" w:ascii="宋体" w:hAnsi="宋体"/>
                <w:sz w:val="24"/>
              </w:rPr>
              <w:t xml:space="preserve">12.无背板设计，以避免因背板造成胸腔压力不足的情况。</w:t>
            </w:r>
            <w:r>
              <w:rPr>
                <w:rFonts w:hint="eastAsia" w:ascii="宋体" w:hAnsi="宋体"/>
                <w:sz w:val="24"/>
              </w:rPr>
            </w:r>
            <w:r/>
          </w:p>
          <w:p>
            <w:pPr>
              <w:pStyle w:val="895"/>
              <w:jc w:val="left"/>
              <w:spacing w:line="360" w:lineRule="auto"/>
              <w:widowControl/>
              <w:rPr>
                <w:rFonts w:hint="eastAsia" w:ascii="宋体" w:hAnsi="宋体"/>
                <w:sz w:val="24"/>
              </w:rPr>
            </w:pPr>
            <w:r>
              <w:rPr>
                <w:rFonts w:hint="eastAsia" w:ascii="宋体" w:hAnsi="宋体"/>
                <w:sz w:val="24"/>
              </w:rPr>
              <w:t xml:space="preserve">13.主机长方形设计，机身长与宽（非底座）差值范围：45mm-55mm；绑带固定在设备长边处，避免设备工作时移位</w:t>
            </w:r>
            <w:r>
              <w:rPr>
                <w:rFonts w:hint="eastAsia" w:ascii="宋体" w:hAnsi="宋体"/>
                <w:sz w:val="24"/>
              </w:rPr>
            </w:r>
            <w:r/>
          </w:p>
        </w:tc>
      </w:tr>
      <w:tr>
        <w:trPr/>
        <w:tc>
          <w:tcPr>
            <w:tcW w:w="966" w:type="dxa"/>
            <w:vAlign w:val="center"/>
            <w:textDirection w:val="lrTb"/>
            <w:noWrap w:val="false"/>
          </w:tcPr>
          <w:p>
            <w:pPr>
              <w:pStyle w:val="895"/>
              <w:jc w:val="center"/>
              <w:spacing w:line="360" w:lineRule="auto"/>
              <w:widowControl/>
              <w:rPr>
                <w:rFonts w:hint="eastAsia" w:ascii="宋体" w:hAnsi="宋体" w:cs="Arial"/>
                <w:b/>
                <w:bCs/>
                <w:sz w:val="24"/>
              </w:rPr>
            </w:pPr>
            <w:r>
              <w:rPr>
                <w:rFonts w:hint="eastAsia" w:ascii="宋体" w:hAnsi="宋体" w:cs="Arial"/>
                <w:b/>
                <w:bCs/>
                <w:sz w:val="24"/>
              </w:rPr>
              <w:t xml:space="preserve">十八</w:t>
            </w:r>
            <w:r>
              <w:rPr>
                <w:rFonts w:hint="eastAsia" w:ascii="宋体" w:hAnsi="宋体" w:cs="Arial"/>
                <w:b/>
                <w:bCs/>
                <w:sz w:val="24"/>
              </w:rPr>
            </w:r>
            <w:r/>
          </w:p>
        </w:tc>
        <w:tc>
          <w:tcPr>
            <w:tcW w:w="1138" w:type="dxa"/>
            <w:vAlign w:val="center"/>
            <w:textDirection w:val="lrTb"/>
            <w:noWrap w:val="false"/>
          </w:tcPr>
          <w:p>
            <w:pPr>
              <w:pStyle w:val="895"/>
              <w:jc w:val="center"/>
              <w:spacing w:line="360" w:lineRule="auto"/>
              <w:widowControl/>
              <w:rPr>
                <w:rFonts w:ascii="宋体" w:hAnsi="宋体"/>
                <w:b/>
                <w:bCs/>
                <w:sz w:val="24"/>
              </w:rPr>
            </w:pPr>
            <w:r>
              <w:rPr>
                <w:rFonts w:hint="eastAsia" w:ascii="宋体" w:hAnsi="宋体"/>
                <w:b/>
                <w:bCs/>
                <w:sz w:val="24"/>
              </w:rPr>
              <w:t xml:space="preserve">车载转运呼吸机</w:t>
            </w:r>
            <w:r>
              <w:rPr>
                <w:rFonts w:ascii="宋体" w:hAnsi="宋体"/>
                <w:b/>
                <w:bCs/>
                <w:sz w:val="24"/>
              </w:rPr>
            </w:r>
            <w:r/>
          </w:p>
        </w:tc>
        <w:tc>
          <w:tcPr>
            <w:tcW w:w="891" w:type="dxa"/>
            <w:vAlign w:val="center"/>
            <w:textDirection w:val="lrTb"/>
            <w:noWrap w:val="false"/>
          </w:tcPr>
          <w:p>
            <w:pPr>
              <w:pStyle w:val="895"/>
              <w:jc w:val="center"/>
              <w:spacing w:line="360" w:lineRule="auto"/>
              <w:widowControl/>
              <w:rPr>
                <w:rFonts w:hint="eastAsia" w:ascii="宋体" w:hAnsi="宋体"/>
                <w:sz w:val="24"/>
              </w:rPr>
            </w:pPr>
            <w:r>
              <w:rPr>
                <w:rFonts w:hint="eastAsia" w:ascii="宋体" w:hAnsi="宋体"/>
                <w:sz w:val="24"/>
              </w:rPr>
              <w:t xml:space="preserve">1台</w:t>
            </w:r>
            <w:r>
              <w:rPr>
                <w:rFonts w:hint="eastAsia" w:ascii="宋体" w:hAnsi="宋体"/>
                <w:sz w:val="24"/>
              </w:rPr>
            </w:r>
            <w:r/>
          </w:p>
        </w:tc>
        <w:tc>
          <w:tcPr>
            <w:tcW w:w="5713" w:type="dxa"/>
            <w:vAlign w:val="center"/>
            <w:textDirection w:val="lrTb"/>
            <w:noWrap w:val="false"/>
          </w:tcPr>
          <w:p>
            <w:pPr>
              <w:pStyle w:val="895"/>
              <w:jc w:val="left"/>
              <w:rPr>
                <w:rFonts w:hint="eastAsia" w:ascii="宋体" w:hAnsi="宋体" w:cs="宋体"/>
                <w:sz w:val="24"/>
              </w:rPr>
            </w:pPr>
            <w:r>
              <w:rPr>
                <w:rFonts w:hint="eastAsia" w:ascii="宋体" w:hAnsi="宋体" w:cs="宋体"/>
                <w:sz w:val="24"/>
              </w:rPr>
              <w:t xml:space="preserve">1.适用于成人、小儿患者通气辅助及呼吸支持。</w:t>
            </w:r>
            <w:r>
              <w:rPr>
                <w:rFonts w:hint="eastAsia" w:ascii="宋体" w:hAnsi="宋体" w:cs="宋体"/>
                <w:sz w:val="24"/>
              </w:rPr>
            </w:r>
            <w:r/>
          </w:p>
          <w:p>
            <w:pPr>
              <w:pStyle w:val="895"/>
              <w:jc w:val="left"/>
              <w:rPr>
                <w:rFonts w:hint="eastAsia" w:ascii="宋体" w:hAnsi="宋体" w:cs="宋体"/>
                <w:sz w:val="24"/>
              </w:rPr>
            </w:pPr>
            <w:r>
              <w:rPr>
                <w:rFonts w:hint="eastAsia" w:ascii="宋体" w:hAnsi="宋体" w:cs="宋体"/>
                <w:sz w:val="24"/>
              </w:rPr>
              <w:t xml:space="preserve">2.整机为电动电控设计，涡轮驱动产生空气气源。</w:t>
            </w:r>
            <w:r>
              <w:rPr>
                <w:rFonts w:hint="eastAsia" w:ascii="宋体" w:hAnsi="宋体" w:cs="宋体"/>
                <w:sz w:val="24"/>
              </w:rPr>
            </w:r>
            <w:r/>
          </w:p>
          <w:p>
            <w:pPr>
              <w:pStyle w:val="895"/>
              <w:jc w:val="left"/>
              <w:rPr>
                <w:rFonts w:hint="eastAsia" w:ascii="宋体" w:hAnsi="宋体" w:cs="宋体"/>
                <w:sz w:val="24"/>
              </w:rPr>
            </w:pPr>
            <w:r>
              <w:rPr>
                <w:rFonts w:hint="eastAsia" w:ascii="宋体" w:hAnsi="宋体" w:cs="宋体"/>
                <w:sz w:val="24"/>
              </w:rPr>
              <w:t xml:space="preserve">3.电池续航时间1块电池≥5小时，选配2块电池≥10小时。</w:t>
            </w:r>
            <w:r>
              <w:rPr>
                <w:rFonts w:hint="eastAsia" w:ascii="宋体" w:hAnsi="宋体" w:cs="宋体"/>
                <w:sz w:val="24"/>
              </w:rPr>
            </w:r>
            <w:r/>
          </w:p>
          <w:p>
            <w:pPr>
              <w:pStyle w:val="895"/>
              <w:jc w:val="left"/>
              <w:rPr>
                <w:rFonts w:hint="eastAsia" w:ascii="宋体" w:hAnsi="宋体" w:cs="宋体"/>
                <w:sz w:val="24"/>
              </w:rPr>
            </w:pPr>
            <w:r>
              <w:rPr>
                <w:rFonts w:hint="eastAsia" w:ascii="宋体" w:hAnsi="宋体" w:cs="宋体"/>
                <w:sz w:val="24"/>
              </w:rPr>
              <w:t xml:space="preserve">4.呼吸机整机重量≤6.5kg。</w:t>
            </w:r>
            <w:r>
              <w:rPr>
                <w:rFonts w:hint="eastAsia" w:ascii="宋体" w:hAnsi="宋体" w:cs="宋体"/>
                <w:sz w:val="24"/>
              </w:rPr>
            </w:r>
            <w:r/>
          </w:p>
          <w:p>
            <w:pPr>
              <w:pStyle w:val="895"/>
              <w:jc w:val="left"/>
              <w:rPr>
                <w:rFonts w:hint="eastAsia" w:ascii="宋体" w:hAnsi="宋体" w:cs="宋体"/>
                <w:sz w:val="24"/>
              </w:rPr>
            </w:pPr>
            <w:r>
              <w:rPr>
                <w:rFonts w:hint="eastAsia" w:ascii="宋体" w:hAnsi="宋体" w:cs="宋体"/>
                <w:sz w:val="24"/>
              </w:rPr>
              <w:t xml:space="preserve">5.高性能涡轮，峰值流速≥260L/min。</w:t>
            </w:r>
            <w:r>
              <w:rPr>
                <w:rFonts w:hint="eastAsia" w:ascii="宋体" w:hAnsi="宋体" w:cs="宋体"/>
                <w:sz w:val="24"/>
              </w:rPr>
            </w:r>
            <w:r/>
          </w:p>
          <w:p>
            <w:pPr>
              <w:pStyle w:val="895"/>
              <w:jc w:val="left"/>
              <w:rPr>
                <w:rFonts w:hint="eastAsia" w:ascii="宋体" w:hAnsi="宋体" w:cs="宋体"/>
                <w:sz w:val="24"/>
              </w:rPr>
            </w:pPr>
            <w:r>
              <w:rPr>
                <w:rFonts w:hint="eastAsia" w:ascii="宋体" w:hAnsi="宋体" w:cs="宋体"/>
                <w:sz w:val="24"/>
              </w:rPr>
              <w:t xml:space="preserve">6.无消耗型氧传感器，无需校准和更换。</w:t>
            </w:r>
            <w:r>
              <w:rPr>
                <w:rFonts w:hint="eastAsia" w:ascii="宋体" w:hAnsi="宋体" w:cs="宋体"/>
                <w:sz w:val="24"/>
              </w:rPr>
            </w:r>
            <w:r/>
          </w:p>
          <w:p>
            <w:pPr>
              <w:pStyle w:val="895"/>
              <w:jc w:val="left"/>
              <w:rPr>
                <w:rFonts w:hint="eastAsia" w:ascii="宋体" w:hAnsi="宋体" w:cs="宋体"/>
                <w:sz w:val="24"/>
              </w:rPr>
            </w:pPr>
            <w:r>
              <w:rPr>
                <w:rFonts w:hint="eastAsia" w:ascii="宋体" w:hAnsi="宋体" w:cs="宋体"/>
                <w:sz w:val="24"/>
              </w:rPr>
              <w:t xml:space="preserve">7.支持高压氧气气源和低压氧气气源两种方式。</w:t>
            </w:r>
            <w:r>
              <w:rPr>
                <w:rFonts w:hint="eastAsia" w:ascii="宋体" w:hAnsi="宋体" w:cs="宋体"/>
                <w:sz w:val="24"/>
              </w:rPr>
            </w:r>
            <w:r/>
          </w:p>
          <w:p>
            <w:pPr>
              <w:pStyle w:val="895"/>
              <w:jc w:val="left"/>
              <w:rPr>
                <w:rFonts w:hint="eastAsia" w:ascii="宋体" w:hAnsi="宋体" w:cs="宋体"/>
                <w:sz w:val="24"/>
              </w:rPr>
            </w:pPr>
            <w:r>
              <w:rPr>
                <w:rFonts w:hint="eastAsia" w:ascii="宋体" w:hAnsi="宋体" w:cs="宋体"/>
                <w:sz w:val="24"/>
              </w:rPr>
              <w:t xml:space="preserve">8采用≥10英寸彩色电容触摸控制屏，分辨率≥1280*800像素，可同时显示波形和监测参数。</w:t>
            </w:r>
            <w:r>
              <w:rPr>
                <w:rFonts w:hint="eastAsia" w:ascii="宋体" w:hAnsi="宋体" w:cs="宋体"/>
                <w:sz w:val="24"/>
              </w:rPr>
            </w:r>
            <w:r/>
          </w:p>
          <w:p>
            <w:pPr>
              <w:pStyle w:val="895"/>
              <w:jc w:val="left"/>
              <w:rPr>
                <w:rFonts w:hint="eastAsia" w:ascii="宋体" w:hAnsi="宋体" w:cs="宋体"/>
                <w:sz w:val="24"/>
              </w:rPr>
            </w:pPr>
            <w:r>
              <w:rPr>
                <w:rFonts w:hint="eastAsia" w:ascii="宋体" w:hAnsi="宋体" w:cs="宋体"/>
                <w:sz w:val="24"/>
              </w:rPr>
              <w:t xml:space="preserve">9.具有屏幕亮度自动调节功能，根据环境光线强度自动调节屏幕亮度。</w:t>
            </w:r>
            <w:r>
              <w:rPr>
                <w:rFonts w:hint="eastAsia" w:ascii="宋体" w:hAnsi="宋体" w:cs="宋体"/>
                <w:sz w:val="24"/>
              </w:rPr>
            </w:r>
            <w:r/>
          </w:p>
          <w:p>
            <w:pPr>
              <w:pStyle w:val="895"/>
              <w:jc w:val="left"/>
              <w:rPr>
                <w:rFonts w:hint="eastAsia" w:ascii="宋体" w:hAnsi="宋体" w:cs="宋体"/>
                <w:sz w:val="24"/>
              </w:rPr>
            </w:pPr>
            <w:r>
              <w:rPr>
                <w:rFonts w:hint="eastAsia" w:ascii="宋体" w:hAnsi="宋体" w:cs="宋体"/>
                <w:sz w:val="24"/>
              </w:rPr>
              <w:t xml:space="preserve">10.具有关机状态下电量显示功能，更加高效掌握机器剩余电量。</w:t>
            </w:r>
            <w:r>
              <w:rPr>
                <w:rFonts w:hint="eastAsia" w:ascii="宋体" w:hAnsi="宋体" w:cs="宋体"/>
                <w:sz w:val="24"/>
              </w:rPr>
            </w:r>
            <w:r/>
          </w:p>
          <w:p>
            <w:pPr>
              <w:pStyle w:val="895"/>
              <w:jc w:val="left"/>
              <w:rPr>
                <w:rFonts w:hint="eastAsia" w:ascii="宋体" w:hAnsi="宋体" w:cs="宋体"/>
                <w:sz w:val="24"/>
              </w:rPr>
            </w:pPr>
            <w:r>
              <w:rPr>
                <w:rFonts w:hint="eastAsia" w:ascii="宋体" w:hAnsi="宋体" w:cs="宋体"/>
                <w:sz w:val="24"/>
              </w:rPr>
              <w:t xml:space="preserve">11.支持显示≥100小时的全部监测参数趋势图、表分析，≥8000条报警和操作日志记录。</w:t>
            </w:r>
            <w:r>
              <w:rPr>
                <w:rFonts w:hint="eastAsia" w:ascii="宋体" w:hAnsi="宋体" w:cs="宋体"/>
                <w:sz w:val="24"/>
              </w:rPr>
            </w:r>
            <w:r/>
          </w:p>
          <w:p>
            <w:pPr>
              <w:pStyle w:val="895"/>
              <w:jc w:val="left"/>
              <w:rPr>
                <w:rFonts w:hint="eastAsia" w:ascii="宋体" w:hAnsi="宋体" w:cs="宋体"/>
                <w:sz w:val="24"/>
              </w:rPr>
            </w:pPr>
            <w:r>
              <w:rPr>
                <w:rFonts w:hint="eastAsia" w:ascii="宋体" w:hAnsi="宋体" w:cs="宋体"/>
                <w:sz w:val="24"/>
              </w:rPr>
              <w:t xml:space="preserve">12.具备截屏U盘导出功能，可缓存≥50张屏幕文件。</w:t>
            </w:r>
            <w:r>
              <w:rPr>
                <w:rFonts w:hint="eastAsia" w:ascii="宋体" w:hAnsi="宋体" w:cs="宋体"/>
                <w:sz w:val="24"/>
              </w:rPr>
            </w:r>
            <w:r/>
          </w:p>
          <w:p>
            <w:pPr>
              <w:pStyle w:val="895"/>
              <w:jc w:val="left"/>
              <w:rPr>
                <w:rFonts w:hint="eastAsia" w:ascii="宋体" w:hAnsi="宋体" w:cs="宋体"/>
                <w:sz w:val="24"/>
              </w:rPr>
            </w:pPr>
            <w:r>
              <w:rPr>
                <w:rFonts w:hint="eastAsia" w:ascii="宋体" w:hAnsi="宋体" w:cs="宋体"/>
                <w:sz w:val="24"/>
              </w:rPr>
              <w:t xml:space="preserve">13.防尘防水等级≥IP34，保证机器在复杂环境中的安全。</w:t>
            </w:r>
            <w:r>
              <w:rPr>
                <w:rFonts w:hint="eastAsia" w:ascii="宋体" w:hAnsi="宋体" w:cs="宋体"/>
                <w:sz w:val="24"/>
              </w:rPr>
            </w:r>
            <w:r/>
          </w:p>
          <w:p>
            <w:pPr>
              <w:pStyle w:val="895"/>
              <w:jc w:val="left"/>
              <w:rPr>
                <w:rFonts w:hint="eastAsia" w:ascii="宋体" w:hAnsi="宋体" w:cs="宋体"/>
                <w:sz w:val="24"/>
              </w:rPr>
            </w:pPr>
            <w:r>
              <w:rPr>
                <w:rFonts w:hint="eastAsia" w:ascii="宋体" w:hAnsi="宋体" w:cs="宋体"/>
                <w:sz w:val="24"/>
              </w:rPr>
              <w:t xml:space="preserve">14.最高工作海拔≥7000m，满足高海拔和直升机转运要求。</w:t>
            </w:r>
            <w:r>
              <w:rPr>
                <w:rFonts w:hint="eastAsia" w:ascii="宋体" w:hAnsi="宋体" w:cs="宋体"/>
                <w:sz w:val="24"/>
              </w:rPr>
            </w:r>
            <w:r/>
          </w:p>
          <w:p>
            <w:pPr>
              <w:pStyle w:val="895"/>
              <w:jc w:val="left"/>
              <w:rPr>
                <w:rFonts w:hint="eastAsia" w:ascii="宋体" w:hAnsi="宋体" w:cs="宋体"/>
                <w:sz w:val="24"/>
              </w:rPr>
            </w:pPr>
            <w:r>
              <w:rPr>
                <w:rFonts w:hint="eastAsia" w:ascii="宋体" w:hAnsi="宋体" w:cs="宋体"/>
                <w:sz w:val="24"/>
              </w:rPr>
              <w:t xml:space="preserve">15.工作温度范围：-20 ~ 50 ℃，满足低温和高温环境下工作要求。</w:t>
            </w:r>
            <w:r>
              <w:rPr>
                <w:rFonts w:hint="eastAsia" w:ascii="宋体" w:hAnsi="宋体" w:cs="宋体"/>
                <w:sz w:val="24"/>
              </w:rPr>
            </w:r>
            <w:r/>
          </w:p>
          <w:p>
            <w:pPr>
              <w:pStyle w:val="895"/>
              <w:jc w:val="left"/>
              <w:rPr>
                <w:rFonts w:hint="eastAsia" w:ascii="宋体" w:hAnsi="宋体" w:cs="宋体"/>
                <w:sz w:val="24"/>
              </w:rPr>
            </w:pPr>
            <w:r>
              <w:rPr>
                <w:rFonts w:hint="eastAsia" w:ascii="宋体" w:hAnsi="宋体" w:cs="宋体"/>
                <w:sz w:val="24"/>
              </w:rPr>
              <w:t xml:space="preserve">16具有自动海拔补偿功能和自动漏气补偿功能。</w:t>
            </w:r>
            <w:r>
              <w:rPr>
                <w:rFonts w:hint="eastAsia" w:ascii="宋体" w:hAnsi="宋体" w:cs="宋体"/>
                <w:sz w:val="24"/>
              </w:rPr>
            </w:r>
            <w:r/>
          </w:p>
          <w:p>
            <w:pPr>
              <w:pStyle w:val="895"/>
              <w:jc w:val="left"/>
              <w:rPr>
                <w:rFonts w:hint="eastAsia" w:ascii="宋体" w:hAnsi="宋体" w:cs="宋体"/>
                <w:sz w:val="24"/>
              </w:rPr>
            </w:pPr>
            <w:r>
              <w:rPr>
                <w:rFonts w:hint="eastAsia" w:ascii="宋体" w:hAnsi="宋体" w:cs="宋体"/>
                <w:sz w:val="24"/>
              </w:rPr>
              <w:t xml:space="preserve">★17.标配模式：控制/辅助通气模式A/C和同步间歇指令通气SIMV；持续气道正压通气模式/压力支持通气CPAP/PSV、双水平气道正压通气（如BIPAP或DuoLevel或BiLevel）、压力调节容量控制通气（如AUTOFLOW或PRVC等）、压力调节容量控制-同步间歇指令通气模式（PRVC-SIMV）、心肺复苏通气模式（如CPRV，CPRmode等）。</w:t>
            </w:r>
            <w:r>
              <w:rPr>
                <w:rFonts w:hint="eastAsia" w:ascii="宋体" w:hAnsi="宋体" w:cs="宋体"/>
                <w:sz w:val="24"/>
              </w:rPr>
            </w:r>
            <w:r/>
          </w:p>
          <w:p>
            <w:pPr>
              <w:pStyle w:val="895"/>
              <w:jc w:val="left"/>
              <w:rPr>
                <w:rFonts w:hint="eastAsia" w:ascii="宋体" w:hAnsi="宋体" w:cs="宋体"/>
                <w:sz w:val="24"/>
              </w:rPr>
            </w:pPr>
            <w:r>
              <w:rPr>
                <w:rFonts w:hint="eastAsia" w:ascii="宋体" w:hAnsi="宋体" w:cs="宋体"/>
                <w:sz w:val="24"/>
              </w:rPr>
              <w:t xml:space="preserve">18可配备无创通气模式和氧疗模式。</w:t>
            </w:r>
            <w:r>
              <w:rPr>
                <w:rFonts w:hint="eastAsia" w:ascii="宋体" w:hAnsi="宋体" w:cs="宋体"/>
                <w:sz w:val="24"/>
              </w:rPr>
            </w:r>
            <w:r/>
          </w:p>
          <w:p>
            <w:pPr>
              <w:pStyle w:val="895"/>
              <w:jc w:val="left"/>
              <w:rPr>
                <w:rFonts w:hint="eastAsia" w:ascii="宋体" w:hAnsi="宋体" w:cs="宋体"/>
                <w:sz w:val="24"/>
              </w:rPr>
            </w:pPr>
            <w:r>
              <w:rPr>
                <w:rFonts w:hint="eastAsia" w:ascii="宋体" w:hAnsi="宋体" w:cs="宋体"/>
                <w:sz w:val="24"/>
              </w:rPr>
              <w:t xml:space="preserve">19.标配动态肺视图。</w:t>
            </w:r>
            <w:r>
              <w:rPr>
                <w:rFonts w:hint="eastAsia" w:ascii="宋体" w:hAnsi="宋体" w:cs="宋体"/>
                <w:sz w:val="24"/>
              </w:rPr>
            </w:r>
            <w:r/>
          </w:p>
          <w:p>
            <w:pPr>
              <w:pStyle w:val="895"/>
              <w:jc w:val="left"/>
              <w:rPr>
                <w:rFonts w:hint="eastAsia" w:ascii="宋体" w:hAnsi="宋体" w:cs="宋体"/>
                <w:sz w:val="24"/>
              </w:rPr>
            </w:pPr>
            <w:r>
              <w:rPr>
                <w:rFonts w:hint="eastAsia" w:ascii="宋体" w:hAnsi="宋体" w:cs="宋体"/>
                <w:sz w:val="24"/>
              </w:rPr>
              <w:t xml:space="preserve">20..标配增氧、吸痰、吸气保持功能。</w:t>
            </w:r>
            <w:r>
              <w:rPr>
                <w:rFonts w:hint="eastAsia" w:ascii="宋体" w:hAnsi="宋体" w:cs="宋体"/>
                <w:sz w:val="24"/>
              </w:rPr>
            </w:r>
            <w:r/>
          </w:p>
          <w:p>
            <w:pPr>
              <w:pStyle w:val="895"/>
              <w:jc w:val="left"/>
              <w:rPr>
                <w:rFonts w:hint="eastAsia" w:ascii="宋体" w:hAnsi="宋体" w:cs="宋体"/>
                <w:sz w:val="24"/>
              </w:rPr>
            </w:pPr>
            <w:r>
              <w:rPr>
                <w:rFonts w:hint="eastAsia" w:ascii="宋体" w:hAnsi="宋体" w:cs="宋体"/>
                <w:sz w:val="24"/>
              </w:rPr>
              <w:t xml:space="preserve">21.标配内源性PEEP、口腔闭合压P0.1和浅快呼吸指数RSBI的测定。</w:t>
            </w:r>
            <w:r>
              <w:rPr>
                <w:rFonts w:hint="eastAsia" w:ascii="宋体" w:hAnsi="宋体" w:cs="宋体"/>
                <w:sz w:val="24"/>
              </w:rPr>
            </w:r>
            <w:r/>
          </w:p>
          <w:p>
            <w:pPr>
              <w:pStyle w:val="895"/>
              <w:jc w:val="left"/>
              <w:rPr>
                <w:rFonts w:hint="eastAsia" w:ascii="宋体" w:hAnsi="宋体" w:cs="宋体"/>
                <w:sz w:val="24"/>
              </w:rPr>
            </w:pPr>
            <w:r>
              <w:rPr>
                <w:rFonts w:hint="eastAsia" w:ascii="宋体" w:hAnsi="宋体" w:cs="宋体"/>
                <w:sz w:val="24"/>
              </w:rPr>
              <w:t xml:space="preserve">22.可选配脱机工具SBT，静态PV环和肺复张工具。</w:t>
            </w:r>
            <w:r>
              <w:rPr>
                <w:rFonts w:hint="eastAsia" w:ascii="宋体" w:hAnsi="宋体" w:cs="宋体"/>
                <w:sz w:val="24"/>
              </w:rPr>
            </w:r>
            <w:r/>
          </w:p>
          <w:p>
            <w:pPr>
              <w:pStyle w:val="895"/>
              <w:jc w:val="left"/>
              <w:rPr>
                <w:rFonts w:hint="eastAsia" w:ascii="宋体" w:hAnsi="宋体" w:cs="宋体"/>
                <w:sz w:val="24"/>
              </w:rPr>
            </w:pPr>
            <w:r>
              <w:rPr>
                <w:rFonts w:hint="eastAsia" w:ascii="宋体" w:hAnsi="宋体" w:cs="宋体"/>
                <w:sz w:val="24"/>
              </w:rPr>
              <w:t xml:space="preserve">23.潮气量：20ml—4000ml</w:t>
            </w:r>
            <w:r>
              <w:rPr>
                <w:rFonts w:hint="eastAsia" w:ascii="宋体" w:hAnsi="宋体" w:cs="宋体"/>
                <w:sz w:val="24"/>
              </w:rPr>
            </w:r>
            <w:r/>
          </w:p>
          <w:p>
            <w:pPr>
              <w:pStyle w:val="895"/>
              <w:jc w:val="left"/>
              <w:rPr>
                <w:rFonts w:hint="eastAsia" w:ascii="宋体" w:hAnsi="宋体" w:cs="宋体"/>
                <w:sz w:val="24"/>
              </w:rPr>
            </w:pPr>
            <w:r>
              <w:rPr>
                <w:rFonts w:hint="eastAsia" w:ascii="宋体" w:hAnsi="宋体" w:cs="宋体"/>
                <w:sz w:val="24"/>
              </w:rPr>
              <w:t xml:space="preserve">24.监测参数：氧浓度、分钟通气量、潮气量、气道压力、呼吸频率等关键参数。</w:t>
            </w:r>
            <w:r>
              <w:rPr>
                <w:rFonts w:hint="eastAsia" w:ascii="宋体" w:hAnsi="宋体" w:cs="宋体"/>
                <w:sz w:val="24"/>
              </w:rPr>
            </w:r>
            <w:r/>
          </w:p>
          <w:p>
            <w:pPr>
              <w:pStyle w:val="895"/>
              <w:jc w:val="left"/>
              <w:rPr>
                <w:rFonts w:hint="eastAsia" w:ascii="宋体" w:hAnsi="宋体" w:cs="宋体"/>
                <w:sz w:val="24"/>
              </w:rPr>
            </w:pPr>
            <w:r>
              <w:rPr>
                <w:rFonts w:hint="eastAsia" w:ascii="宋体" w:hAnsi="宋体" w:cs="宋体"/>
                <w:sz w:val="24"/>
              </w:rPr>
              <w:t xml:space="preserve">25.波形监测：压力—时间、流速—时间、容量—时间、CO2—时间波形、SpO2—时间波形。</w:t>
            </w:r>
            <w:r>
              <w:rPr>
                <w:rFonts w:hint="eastAsia" w:ascii="宋体" w:hAnsi="宋体" w:cs="宋体"/>
                <w:sz w:val="24"/>
              </w:rPr>
            </w:r>
            <w:r/>
          </w:p>
          <w:p>
            <w:pPr>
              <w:pStyle w:val="895"/>
              <w:jc w:val="left"/>
              <w:rPr>
                <w:rFonts w:hint="eastAsia" w:ascii="宋体" w:hAnsi="宋体" w:cs="宋体"/>
                <w:sz w:val="24"/>
              </w:rPr>
            </w:pPr>
            <w:r>
              <w:rPr>
                <w:rFonts w:hint="eastAsia" w:ascii="宋体" w:hAnsi="宋体" w:cs="宋体"/>
                <w:sz w:val="24"/>
              </w:rPr>
              <w:t xml:space="preserve">26.报警：潮气量、通气量、压力、呼吸频率、窒息、氧浓度、氧气不足、电量不足、管路脱落、机器故障等。</w:t>
            </w:r>
            <w:r>
              <w:rPr>
                <w:rFonts w:hint="eastAsia" w:ascii="宋体" w:hAnsi="宋体" w:cs="宋体"/>
                <w:sz w:val="24"/>
              </w:rPr>
            </w:r>
            <w:r/>
          </w:p>
          <w:p>
            <w:pPr>
              <w:pStyle w:val="895"/>
              <w:jc w:val="left"/>
              <w:rPr>
                <w:rFonts w:hint="eastAsia" w:ascii="宋体" w:hAnsi="宋体" w:cs="宋体"/>
                <w:sz w:val="24"/>
              </w:rPr>
            </w:pPr>
            <w:r>
              <w:rPr>
                <w:rFonts w:hint="eastAsia" w:ascii="宋体" w:hAnsi="宋体" w:cs="宋体"/>
                <w:sz w:val="24"/>
              </w:rPr>
              <w:t xml:space="preserve">27.信息互连：支持无线WIFI，灵活将呼吸机数据传输到远程终端，实现患者的远程实时监控，满足转运过程中的信息化的需求。</w:t>
            </w:r>
            <w:r>
              <w:rPr>
                <w:rFonts w:hint="eastAsia" w:ascii="宋体" w:hAnsi="宋体" w:cs="宋体"/>
                <w:sz w:val="24"/>
              </w:rPr>
            </w:r>
            <w:r/>
          </w:p>
          <w:p>
            <w:pPr>
              <w:pStyle w:val="895"/>
              <w:jc w:val="left"/>
              <w:spacing w:line="360" w:lineRule="auto"/>
              <w:widowControl/>
              <w:rPr>
                <w:rFonts w:hint="eastAsia" w:ascii="宋体" w:hAnsi="宋体"/>
                <w:sz w:val="24"/>
              </w:rPr>
            </w:pPr>
            <w:r>
              <w:rPr>
                <w:rFonts w:hint="eastAsia" w:ascii="宋体" w:hAnsi="宋体"/>
                <w:sz w:val="24"/>
              </w:rPr>
            </w:r>
            <w:r/>
          </w:p>
        </w:tc>
      </w:tr>
      <w:tr>
        <w:trPr/>
        <w:tc>
          <w:tcPr>
            <w:tcW w:w="966" w:type="dxa"/>
            <w:vAlign w:val="center"/>
            <w:textDirection w:val="lrTb"/>
            <w:noWrap w:val="false"/>
          </w:tcPr>
          <w:p>
            <w:pPr>
              <w:pStyle w:val="895"/>
              <w:jc w:val="center"/>
              <w:spacing w:line="360" w:lineRule="auto"/>
              <w:widowControl/>
              <w:rPr>
                <w:rFonts w:hint="eastAsia" w:ascii="宋体" w:hAnsi="宋体" w:cs="Arial"/>
                <w:b/>
                <w:bCs/>
                <w:sz w:val="24"/>
              </w:rPr>
            </w:pPr>
            <w:r>
              <w:rPr>
                <w:rFonts w:hint="eastAsia" w:ascii="宋体" w:hAnsi="宋体" w:cs="Arial"/>
                <w:b/>
                <w:bCs/>
                <w:sz w:val="24"/>
              </w:rPr>
              <w:t xml:space="preserve">十九</w:t>
            </w:r>
            <w:r>
              <w:rPr>
                <w:rFonts w:hint="eastAsia" w:ascii="宋体" w:hAnsi="宋体" w:cs="Arial"/>
                <w:b/>
                <w:bCs/>
                <w:sz w:val="24"/>
              </w:rPr>
            </w:r>
            <w:r/>
          </w:p>
        </w:tc>
        <w:tc>
          <w:tcPr>
            <w:tcW w:w="1138" w:type="dxa"/>
            <w:vAlign w:val="center"/>
            <w:textDirection w:val="lrTb"/>
            <w:noWrap w:val="false"/>
          </w:tcPr>
          <w:p>
            <w:pPr>
              <w:pStyle w:val="895"/>
              <w:jc w:val="center"/>
              <w:spacing w:line="360" w:lineRule="auto"/>
              <w:widowControl/>
              <w:rPr>
                <w:rFonts w:ascii="宋体" w:hAnsi="宋体"/>
                <w:b/>
                <w:bCs/>
                <w:sz w:val="24"/>
              </w:rPr>
            </w:pPr>
            <w:r>
              <w:rPr>
                <w:rFonts w:hint="eastAsia" w:ascii="宋体" w:hAnsi="宋体"/>
                <w:b/>
                <w:bCs/>
                <w:sz w:val="24"/>
              </w:rPr>
              <w:t xml:space="preserve">输液泵</w:t>
            </w:r>
            <w:r>
              <w:rPr>
                <w:rFonts w:ascii="宋体" w:hAnsi="宋体"/>
                <w:b/>
                <w:bCs/>
                <w:sz w:val="24"/>
              </w:rPr>
            </w:r>
            <w:r/>
          </w:p>
        </w:tc>
        <w:tc>
          <w:tcPr>
            <w:tcW w:w="891" w:type="dxa"/>
            <w:vAlign w:val="center"/>
            <w:textDirection w:val="lrTb"/>
            <w:noWrap w:val="false"/>
          </w:tcPr>
          <w:p>
            <w:pPr>
              <w:pStyle w:val="895"/>
              <w:jc w:val="center"/>
              <w:spacing w:line="360" w:lineRule="auto"/>
              <w:widowControl/>
              <w:rPr>
                <w:rFonts w:hint="eastAsia" w:ascii="宋体" w:hAnsi="宋体" w:cs="宋体"/>
                <w:sz w:val="24"/>
              </w:rPr>
            </w:pPr>
            <w:r>
              <w:rPr>
                <w:rFonts w:hint="eastAsia" w:ascii="宋体" w:hAnsi="宋体" w:cs="宋体"/>
                <w:sz w:val="24"/>
              </w:rPr>
              <w:t xml:space="preserve">每车各配备1台</w:t>
            </w:r>
            <w:r>
              <w:rPr>
                <w:rFonts w:hint="eastAsia" w:ascii="宋体" w:hAnsi="宋体" w:cs="宋体"/>
                <w:sz w:val="24"/>
              </w:rPr>
            </w:r>
            <w:r/>
          </w:p>
          <w:p>
            <w:pPr>
              <w:pStyle w:val="895"/>
              <w:jc w:val="center"/>
              <w:spacing w:line="360" w:lineRule="auto"/>
              <w:widowControl/>
              <w:rPr>
                <w:rFonts w:hint="eastAsia" w:ascii="宋体" w:hAnsi="宋体"/>
                <w:sz w:val="24"/>
              </w:rPr>
            </w:pPr>
            <w:r>
              <w:rPr>
                <w:rFonts w:hint="eastAsia" w:ascii="宋体" w:hAnsi="宋体" w:cs="宋体"/>
                <w:sz w:val="24"/>
              </w:rPr>
              <w:t xml:space="preserve">，共2台。</w:t>
            </w:r>
            <w:r>
              <w:rPr>
                <w:rFonts w:hint="eastAsia" w:ascii="宋体" w:hAnsi="宋体"/>
                <w:sz w:val="24"/>
              </w:rPr>
            </w:r>
            <w:r/>
          </w:p>
        </w:tc>
        <w:tc>
          <w:tcPr>
            <w:tcW w:w="5713" w:type="dxa"/>
            <w:vAlign w:val="center"/>
            <w:textDirection w:val="lrTb"/>
            <w:noWrap w:val="false"/>
          </w:tcPr>
          <w:p>
            <w:pPr>
              <w:pStyle w:val="985"/>
              <w:numPr>
                <w:ilvl w:val="0"/>
                <w:numId w:val="13"/>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支持输血功能</w:t>
            </w:r>
            <w:r>
              <w:rPr>
                <w:rFonts w:hint="eastAsia" w:ascii="宋体" w:hAnsi="宋体" w:cs="宋体"/>
                <w:color w:val="000000"/>
                <w:sz w:val="24"/>
                <w:szCs w:val="24"/>
                <w:lang w:val="en-US" w:eastAsia="zh-CN"/>
              </w:rPr>
            </w:r>
            <w:r/>
          </w:p>
          <w:p>
            <w:pPr>
              <w:pStyle w:val="985"/>
              <w:numPr>
                <w:ilvl w:val="0"/>
                <w:numId w:val="13"/>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可升级肠内营养液输液功能，</w:t>
            </w:r>
            <w:r>
              <w:rPr>
                <w:rFonts w:hint="eastAsia" w:ascii="宋体" w:hAnsi="宋体" w:cs="宋体"/>
                <w:color w:val="000000"/>
                <w:sz w:val="24"/>
                <w:szCs w:val="24"/>
                <w:lang w:val="en-US" w:eastAsia="zh-CN"/>
              </w:rPr>
            </w:r>
            <w:r/>
          </w:p>
          <w:p>
            <w:pPr>
              <w:pStyle w:val="985"/>
              <w:numPr>
                <w:ilvl w:val="0"/>
                <w:numId w:val="13"/>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输液精度≤±5%</w:t>
            </w:r>
            <w:r>
              <w:rPr>
                <w:rFonts w:hint="eastAsia" w:ascii="宋体" w:hAnsi="宋体" w:cs="宋体"/>
                <w:color w:val="000000"/>
                <w:sz w:val="24"/>
                <w:szCs w:val="24"/>
                <w:lang w:val="en-US" w:eastAsia="zh-CN"/>
              </w:rPr>
            </w:r>
            <w:r/>
          </w:p>
          <w:p>
            <w:pPr>
              <w:pStyle w:val="985"/>
              <w:numPr>
                <w:ilvl w:val="0"/>
                <w:numId w:val="13"/>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速率范围：0.1-2000ml/h, 最小步进0.01ml/h</w:t>
            </w:r>
            <w:r>
              <w:rPr>
                <w:rFonts w:hint="eastAsia" w:ascii="宋体" w:hAnsi="宋体" w:cs="宋体"/>
                <w:color w:val="000000"/>
                <w:sz w:val="24"/>
                <w:szCs w:val="24"/>
                <w:lang w:val="en-US" w:eastAsia="zh-CN"/>
              </w:rPr>
            </w:r>
            <w:r/>
          </w:p>
          <w:p>
            <w:pPr>
              <w:pStyle w:val="985"/>
              <w:numPr>
                <w:ilvl w:val="0"/>
                <w:numId w:val="13"/>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快进流速范围：0.1-2000ml/h</w:t>
            </w:r>
            <w:r>
              <w:rPr>
                <w:rFonts w:hint="eastAsia" w:ascii="宋体" w:hAnsi="宋体" w:cs="宋体"/>
                <w:color w:val="000000"/>
                <w:sz w:val="24"/>
                <w:szCs w:val="24"/>
                <w:lang w:val="en-US" w:eastAsia="zh-CN"/>
              </w:rPr>
            </w:r>
            <w:r/>
          </w:p>
          <w:p>
            <w:pPr>
              <w:pStyle w:val="985"/>
              <w:numPr>
                <w:ilvl w:val="0"/>
                <w:numId w:val="13"/>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可自动统计四种累计量：24h累计量、最近累计量、自定义时间段累计量、定时间隔累计量</w:t>
            </w:r>
            <w:r>
              <w:rPr>
                <w:rFonts w:hint="eastAsia" w:ascii="宋体" w:hAnsi="宋体" w:cs="宋体"/>
                <w:color w:val="000000"/>
                <w:sz w:val="24"/>
                <w:szCs w:val="24"/>
                <w:lang w:val="en-US" w:eastAsia="zh-CN"/>
              </w:rPr>
            </w:r>
            <w:r/>
          </w:p>
          <w:p>
            <w:pPr>
              <w:pStyle w:val="985"/>
              <w:numPr>
                <w:ilvl w:val="0"/>
                <w:numId w:val="13"/>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8种输液模式：速度模式、时间模式、体重模式、梯度模式、序列模式、剂量时间模式、和间断给药模式、点滴模式</w:t>
            </w:r>
            <w:r>
              <w:rPr>
                <w:rFonts w:hint="eastAsia" w:ascii="宋体" w:hAnsi="宋体" w:cs="宋体"/>
                <w:color w:val="000000"/>
                <w:sz w:val="24"/>
                <w:szCs w:val="24"/>
                <w:lang w:val="en-US" w:eastAsia="zh-CN"/>
              </w:rPr>
            </w:r>
            <w:r/>
          </w:p>
          <w:p>
            <w:pPr>
              <w:pStyle w:val="985"/>
              <w:numPr>
                <w:ilvl w:val="0"/>
                <w:numId w:val="13"/>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支持镇痛药、化疗药、胰岛素输注</w:t>
            </w:r>
            <w:r>
              <w:rPr>
                <w:rFonts w:hint="eastAsia" w:ascii="宋体" w:hAnsi="宋体" w:cs="宋体"/>
                <w:color w:val="000000"/>
                <w:sz w:val="24"/>
                <w:szCs w:val="24"/>
                <w:lang w:val="en-US" w:eastAsia="zh-CN"/>
              </w:rPr>
            </w:r>
            <w:r/>
          </w:p>
          <w:p>
            <w:pPr>
              <w:pStyle w:val="985"/>
              <w:numPr>
                <w:ilvl w:val="0"/>
                <w:numId w:val="13"/>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配备不小于3.5英寸彩色显示屏，电容触摸屏技术</w:t>
            </w:r>
            <w:r>
              <w:rPr>
                <w:rFonts w:hint="eastAsia" w:ascii="宋体" w:hAnsi="宋体" w:cs="宋体"/>
                <w:color w:val="000000"/>
                <w:sz w:val="24"/>
                <w:szCs w:val="24"/>
                <w:lang w:val="en-US" w:eastAsia="zh-CN"/>
              </w:rPr>
            </w:r>
            <w:r/>
          </w:p>
          <w:p>
            <w:pPr>
              <w:pStyle w:val="985"/>
              <w:numPr>
                <w:ilvl w:val="0"/>
                <w:numId w:val="13"/>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支持药物库，可储存5000种药物信息。</w:t>
            </w:r>
            <w:r>
              <w:rPr>
                <w:rFonts w:hint="eastAsia" w:ascii="宋体" w:hAnsi="宋体" w:cs="宋体"/>
                <w:color w:val="000000"/>
                <w:sz w:val="24"/>
                <w:szCs w:val="24"/>
                <w:lang w:val="en-US" w:eastAsia="zh-CN"/>
              </w:rPr>
            </w:r>
            <w:r/>
          </w:p>
          <w:p>
            <w:pPr>
              <w:pStyle w:val="985"/>
              <w:numPr>
                <w:ilvl w:val="0"/>
                <w:numId w:val="13"/>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支持药物色彩标识，选择不同类型药物时对应的药物色彩标识自动显示在屏幕上，支持4种以上颜色</w:t>
            </w:r>
            <w:r>
              <w:rPr>
                <w:rFonts w:hint="eastAsia" w:ascii="宋体" w:hAnsi="宋体" w:cs="宋体"/>
                <w:color w:val="000000"/>
                <w:sz w:val="24"/>
                <w:szCs w:val="24"/>
                <w:lang w:val="en-US" w:eastAsia="zh-CN"/>
              </w:rPr>
            </w:r>
            <w:r/>
          </w:p>
          <w:p>
            <w:pPr>
              <w:pStyle w:val="985"/>
              <w:numPr>
                <w:ilvl w:val="0"/>
                <w:numId w:val="13"/>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在线动态压力监测，可实时显示当前压力数值；</w:t>
            </w:r>
            <w:r>
              <w:rPr>
                <w:rFonts w:hint="eastAsia" w:ascii="宋体" w:hAnsi="宋体" w:cs="宋体"/>
                <w:color w:val="000000"/>
                <w:sz w:val="24"/>
                <w:szCs w:val="24"/>
                <w:lang w:val="en-US" w:eastAsia="zh-CN"/>
              </w:rPr>
            </w:r>
            <w:r/>
          </w:p>
          <w:p>
            <w:pPr>
              <w:pStyle w:val="985"/>
              <w:numPr>
                <w:ilvl w:val="0"/>
                <w:numId w:val="13"/>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压力报警阈值至少15档可调，最低可设置50mmHg</w:t>
            </w:r>
            <w:r>
              <w:rPr>
                <w:rFonts w:hint="eastAsia" w:ascii="宋体" w:hAnsi="宋体" w:cs="宋体"/>
                <w:color w:val="000000"/>
                <w:sz w:val="24"/>
                <w:szCs w:val="24"/>
                <w:lang w:val="en-US" w:eastAsia="zh-CN"/>
              </w:rPr>
            </w:r>
            <w:r/>
          </w:p>
          <w:p>
            <w:pPr>
              <w:pStyle w:val="985"/>
              <w:numPr>
                <w:ilvl w:val="0"/>
                <w:numId w:val="13"/>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具备阻塞前预警提示功能，当管路压力未触发阻塞报警时，泵可自动识别压力上升并在屏幕上进行提示</w:t>
            </w:r>
            <w:r>
              <w:rPr>
                <w:rFonts w:hint="eastAsia" w:ascii="宋体" w:hAnsi="宋体" w:cs="宋体"/>
                <w:color w:val="000000"/>
                <w:sz w:val="24"/>
                <w:szCs w:val="24"/>
                <w:lang w:val="en-US" w:eastAsia="zh-CN"/>
              </w:rPr>
            </w:r>
            <w:r/>
          </w:p>
          <w:p>
            <w:pPr>
              <w:pStyle w:val="985"/>
              <w:numPr>
                <w:ilvl w:val="0"/>
                <w:numId w:val="13"/>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具备阻塞后自动重启输液功能，短暂性阻塞触发报警后，泵检测到阻塞压力缓解时，无需人为干预，泵自动重新启动输液</w:t>
            </w:r>
            <w:r>
              <w:rPr>
                <w:rFonts w:hint="eastAsia" w:ascii="宋体" w:hAnsi="宋体" w:cs="宋体"/>
                <w:color w:val="000000"/>
                <w:sz w:val="24"/>
                <w:szCs w:val="24"/>
                <w:lang w:val="en-US" w:eastAsia="zh-CN"/>
              </w:rPr>
            </w:r>
            <w:r/>
          </w:p>
          <w:p>
            <w:pPr>
              <w:pStyle w:val="985"/>
              <w:numPr>
                <w:ilvl w:val="0"/>
                <w:numId w:val="13"/>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具备气泡报警功能，支持最小15μL的单个气泡报警</w:t>
            </w:r>
            <w:r>
              <w:rPr>
                <w:rFonts w:hint="eastAsia" w:ascii="宋体" w:hAnsi="宋体" w:cs="宋体"/>
                <w:color w:val="000000"/>
                <w:sz w:val="24"/>
                <w:szCs w:val="24"/>
                <w:lang w:val="en-US" w:eastAsia="zh-CN"/>
              </w:rPr>
            </w:r>
            <w:r/>
          </w:p>
          <w:p>
            <w:pPr>
              <w:pStyle w:val="985"/>
              <w:numPr>
                <w:ilvl w:val="0"/>
                <w:numId w:val="13"/>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信息储存：可存储5000条的历史记录</w:t>
            </w:r>
            <w:r>
              <w:rPr>
                <w:rFonts w:hint="eastAsia" w:ascii="宋体" w:hAnsi="宋体" w:cs="宋体"/>
                <w:color w:val="000000"/>
                <w:sz w:val="24"/>
                <w:szCs w:val="24"/>
                <w:lang w:val="en-US" w:eastAsia="zh-CN"/>
              </w:rPr>
            </w:r>
            <w:r/>
          </w:p>
          <w:p>
            <w:pPr>
              <w:pStyle w:val="985"/>
              <w:numPr>
                <w:ilvl w:val="0"/>
                <w:numId w:val="13"/>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电池工作时间≥5小时@25ml/h</w:t>
            </w:r>
            <w:r>
              <w:rPr>
                <w:rFonts w:hint="eastAsia" w:ascii="宋体" w:hAnsi="宋体" w:cs="宋体"/>
                <w:color w:val="000000"/>
                <w:sz w:val="24"/>
                <w:szCs w:val="24"/>
                <w:lang w:val="en-US" w:eastAsia="zh-CN"/>
              </w:rPr>
            </w:r>
            <w:r/>
          </w:p>
          <w:p>
            <w:pPr>
              <w:pStyle w:val="985"/>
              <w:numPr>
                <w:ilvl w:val="0"/>
                <w:numId w:val="13"/>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防异物及进液等级IP44</w:t>
            </w:r>
            <w:r>
              <w:rPr>
                <w:rFonts w:hint="eastAsia" w:ascii="宋体" w:hAnsi="宋体" w:cs="宋体"/>
                <w:color w:val="000000"/>
                <w:sz w:val="24"/>
                <w:szCs w:val="24"/>
                <w:lang w:val="en-US" w:eastAsia="zh-CN"/>
              </w:rPr>
            </w:r>
            <w:r/>
          </w:p>
          <w:p>
            <w:pPr>
              <w:pStyle w:val="985"/>
              <w:numPr>
                <w:ilvl w:val="0"/>
                <w:numId w:val="13"/>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整机重量不超过1.5kg</w:t>
            </w:r>
            <w:r>
              <w:rPr>
                <w:rFonts w:hint="eastAsia" w:ascii="宋体" w:hAnsi="宋体" w:cs="宋体"/>
                <w:color w:val="000000"/>
                <w:sz w:val="24"/>
                <w:szCs w:val="24"/>
                <w:lang w:val="en-US" w:eastAsia="zh-CN"/>
              </w:rPr>
            </w:r>
            <w:r/>
          </w:p>
          <w:p>
            <w:pPr>
              <w:pStyle w:val="895"/>
              <w:jc w:val="left"/>
              <w:spacing w:line="360" w:lineRule="auto"/>
              <w:widowControl/>
              <w:rPr>
                <w:rFonts w:ascii="宋体" w:hAnsi="宋体"/>
                <w:sz w:val="24"/>
              </w:rPr>
            </w:pPr>
            <w:r>
              <w:rPr>
                <w:rFonts w:ascii="宋体" w:hAnsi="宋体"/>
                <w:sz w:val="24"/>
              </w:rPr>
            </w:r>
            <w:r/>
          </w:p>
        </w:tc>
      </w:tr>
      <w:tr>
        <w:trPr/>
        <w:tc>
          <w:tcPr>
            <w:tcW w:w="966" w:type="dxa"/>
            <w:vAlign w:val="center"/>
            <w:textDirection w:val="lrTb"/>
            <w:noWrap w:val="false"/>
          </w:tcPr>
          <w:p>
            <w:pPr>
              <w:pStyle w:val="895"/>
              <w:jc w:val="center"/>
              <w:spacing w:line="360" w:lineRule="auto"/>
              <w:widowControl/>
              <w:rPr>
                <w:rFonts w:hint="eastAsia" w:ascii="宋体" w:hAnsi="宋体" w:cs="Arial"/>
                <w:b/>
                <w:bCs/>
                <w:sz w:val="24"/>
              </w:rPr>
            </w:pPr>
            <w:r>
              <w:rPr>
                <w:rFonts w:hint="eastAsia" w:ascii="宋体" w:hAnsi="宋体" w:cs="Arial"/>
                <w:b/>
                <w:bCs/>
                <w:sz w:val="24"/>
              </w:rPr>
              <w:t xml:space="preserve">二十</w:t>
            </w:r>
            <w:r>
              <w:rPr>
                <w:rFonts w:hint="eastAsia" w:ascii="宋体" w:hAnsi="宋体" w:cs="Arial"/>
                <w:b/>
                <w:bCs/>
                <w:sz w:val="24"/>
              </w:rPr>
            </w:r>
            <w:r/>
          </w:p>
        </w:tc>
        <w:tc>
          <w:tcPr>
            <w:tcW w:w="1138" w:type="dxa"/>
            <w:vAlign w:val="center"/>
            <w:textDirection w:val="lrTb"/>
            <w:noWrap w:val="false"/>
          </w:tcPr>
          <w:p>
            <w:pPr>
              <w:pStyle w:val="895"/>
              <w:jc w:val="center"/>
              <w:spacing w:line="360" w:lineRule="auto"/>
              <w:widowControl/>
              <w:rPr>
                <w:rFonts w:ascii="宋体" w:hAnsi="宋体"/>
                <w:b/>
                <w:bCs/>
                <w:sz w:val="24"/>
              </w:rPr>
            </w:pPr>
            <w:r>
              <w:rPr>
                <w:rFonts w:hint="eastAsia" w:ascii="宋体" w:hAnsi="宋体"/>
                <w:b/>
                <w:bCs/>
                <w:sz w:val="24"/>
              </w:rPr>
              <w:t xml:space="preserve">注射泵</w:t>
            </w:r>
            <w:r>
              <w:rPr>
                <w:rFonts w:ascii="宋体" w:hAnsi="宋体"/>
                <w:b/>
                <w:bCs/>
                <w:sz w:val="24"/>
              </w:rPr>
            </w:r>
            <w:r/>
          </w:p>
        </w:tc>
        <w:tc>
          <w:tcPr>
            <w:tcW w:w="891" w:type="dxa"/>
            <w:vAlign w:val="center"/>
            <w:textDirection w:val="lrTb"/>
            <w:noWrap w:val="false"/>
          </w:tcPr>
          <w:p>
            <w:pPr>
              <w:pStyle w:val="895"/>
              <w:jc w:val="center"/>
              <w:spacing w:line="360" w:lineRule="auto"/>
              <w:widowControl/>
              <w:rPr>
                <w:rFonts w:hint="eastAsia" w:ascii="宋体" w:hAnsi="宋体" w:cs="宋体"/>
                <w:sz w:val="24"/>
              </w:rPr>
            </w:pPr>
            <w:r>
              <w:rPr>
                <w:rFonts w:hint="eastAsia" w:ascii="宋体" w:hAnsi="宋体" w:cs="宋体"/>
                <w:sz w:val="24"/>
              </w:rPr>
              <w:t xml:space="preserve">每车各配备1台</w:t>
            </w:r>
            <w:r>
              <w:rPr>
                <w:rFonts w:hint="eastAsia" w:ascii="宋体" w:hAnsi="宋体" w:cs="宋体"/>
                <w:sz w:val="24"/>
              </w:rPr>
            </w:r>
            <w:r/>
          </w:p>
          <w:p>
            <w:pPr>
              <w:pStyle w:val="895"/>
              <w:jc w:val="center"/>
              <w:spacing w:line="360" w:lineRule="auto"/>
              <w:widowControl/>
              <w:rPr>
                <w:rFonts w:hint="eastAsia" w:ascii="宋体" w:hAnsi="宋体" w:cs="宋体"/>
                <w:sz w:val="24"/>
              </w:rPr>
            </w:pPr>
            <w:r>
              <w:rPr>
                <w:rFonts w:hint="eastAsia" w:ascii="宋体" w:hAnsi="宋体" w:cs="宋体"/>
                <w:sz w:val="24"/>
              </w:rPr>
              <w:t xml:space="preserve">，共2台</w:t>
            </w:r>
            <w:r>
              <w:rPr>
                <w:rFonts w:hint="eastAsia" w:ascii="宋体" w:hAnsi="宋体" w:cs="宋体"/>
                <w:sz w:val="24"/>
              </w:rPr>
            </w:r>
            <w:r/>
          </w:p>
          <w:p>
            <w:pPr>
              <w:pStyle w:val="895"/>
              <w:jc w:val="center"/>
              <w:spacing w:line="360" w:lineRule="auto"/>
              <w:widowControl/>
              <w:rPr>
                <w:rFonts w:hint="eastAsia" w:ascii="宋体" w:hAnsi="宋体" w:cs="宋体"/>
                <w:sz w:val="24"/>
              </w:rPr>
            </w:pPr>
            <w:r>
              <w:rPr>
                <w:rFonts w:hint="eastAsia" w:ascii="宋体" w:hAnsi="宋体" w:cs="宋体"/>
                <w:sz w:val="24"/>
              </w:rPr>
            </w:r>
            <w:r/>
          </w:p>
        </w:tc>
        <w:tc>
          <w:tcPr>
            <w:tcW w:w="5713" w:type="dxa"/>
            <w:vAlign w:val="center"/>
            <w:textDirection w:val="lrTb"/>
            <w:noWrap w:val="false"/>
          </w:tcPr>
          <w:p>
            <w:pPr>
              <w:pStyle w:val="985"/>
              <w:numPr>
                <w:ilvl w:val="0"/>
                <w:numId w:val="14"/>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双通道为主机一体化设计，无需额外配件。每个通道具备独立电源开关，使用时更节能。</w:t>
            </w:r>
            <w:r>
              <w:rPr>
                <w:rFonts w:hint="eastAsia" w:ascii="宋体" w:hAnsi="宋体" w:cs="宋体"/>
                <w:color w:val="000000"/>
                <w:sz w:val="24"/>
                <w:szCs w:val="24"/>
                <w:lang w:val="en-US" w:eastAsia="zh-CN"/>
              </w:rPr>
            </w:r>
            <w:r/>
          </w:p>
          <w:p>
            <w:pPr>
              <w:pStyle w:val="985"/>
              <w:numPr>
                <w:ilvl w:val="0"/>
                <w:numId w:val="14"/>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*注射精度≤±2%，机械精度≤±0.5%</w:t>
            </w:r>
            <w:r>
              <w:rPr>
                <w:rFonts w:hint="eastAsia" w:ascii="宋体" w:hAnsi="宋体" w:cs="宋体"/>
                <w:color w:val="000000"/>
                <w:sz w:val="24"/>
                <w:szCs w:val="24"/>
                <w:lang w:val="en-US" w:eastAsia="zh-CN"/>
              </w:rPr>
            </w:r>
            <w:r/>
          </w:p>
          <w:p>
            <w:pPr>
              <w:pStyle w:val="985"/>
              <w:numPr>
                <w:ilvl w:val="0"/>
                <w:numId w:val="14"/>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速率范围：0.01-2300ml/h 最小起始流速和步进流速均为0.01ml/h</w:t>
            </w:r>
            <w:r>
              <w:rPr>
                <w:rFonts w:hint="eastAsia" w:ascii="宋体" w:hAnsi="宋体" w:cs="宋体"/>
                <w:color w:val="000000"/>
                <w:sz w:val="24"/>
                <w:szCs w:val="24"/>
                <w:lang w:val="en-US" w:eastAsia="zh-CN"/>
              </w:rPr>
            </w:r>
            <w:r/>
          </w:p>
          <w:p>
            <w:pPr>
              <w:pStyle w:val="985"/>
              <w:numPr>
                <w:ilvl w:val="0"/>
                <w:numId w:val="14"/>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快进速度范围：0.01-2300ml/h</w:t>
            </w:r>
            <w:r>
              <w:rPr>
                <w:rFonts w:hint="eastAsia" w:ascii="宋体" w:hAnsi="宋体" w:cs="宋体"/>
                <w:color w:val="000000"/>
                <w:sz w:val="24"/>
                <w:szCs w:val="24"/>
                <w:lang w:val="en-US" w:eastAsia="zh-CN"/>
              </w:rPr>
            </w:r>
            <w:r/>
          </w:p>
          <w:p>
            <w:pPr>
              <w:pStyle w:val="985"/>
              <w:numPr>
                <w:ilvl w:val="0"/>
                <w:numId w:val="14"/>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可自动统计四种累计量：24h累计量、最近累计量、自定义时间段累计量、定时间隔累计量</w:t>
            </w:r>
            <w:r>
              <w:rPr>
                <w:rFonts w:hint="eastAsia" w:ascii="宋体" w:hAnsi="宋体" w:cs="宋体"/>
                <w:color w:val="000000"/>
                <w:sz w:val="24"/>
                <w:szCs w:val="24"/>
                <w:lang w:val="en-US" w:eastAsia="zh-CN"/>
              </w:rPr>
            </w:r>
            <w:r/>
          </w:p>
          <w:p>
            <w:pPr>
              <w:pStyle w:val="985"/>
              <w:numPr>
                <w:ilvl w:val="0"/>
                <w:numId w:val="14"/>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支持注射器规格：2ml、3ml、5ml、10ml、20ml、30ml、50/60ml；</w:t>
            </w:r>
            <w:r>
              <w:rPr>
                <w:rFonts w:hint="eastAsia" w:ascii="宋体" w:hAnsi="宋体" w:cs="宋体"/>
                <w:color w:val="000000"/>
                <w:sz w:val="24"/>
                <w:szCs w:val="24"/>
                <w:lang w:val="en-US" w:eastAsia="zh-CN"/>
              </w:rPr>
            </w:r>
            <w:r/>
          </w:p>
          <w:p>
            <w:pPr>
              <w:pStyle w:val="985"/>
              <w:numPr>
                <w:ilvl w:val="0"/>
                <w:numId w:val="14"/>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注射器安装后，在推拉盒触碰到注射器活塞末端时，不松开捏柄时推杆也可自动感应制动，防止药液误推</w:t>
            </w:r>
            <w:r>
              <w:rPr>
                <w:rFonts w:hint="eastAsia" w:ascii="宋体" w:hAnsi="宋体" w:cs="宋体"/>
                <w:color w:val="000000"/>
                <w:sz w:val="24"/>
                <w:szCs w:val="24"/>
                <w:lang w:val="en-US" w:eastAsia="zh-CN"/>
              </w:rPr>
            </w:r>
            <w:r/>
          </w:p>
          <w:p>
            <w:pPr>
              <w:pStyle w:val="985"/>
              <w:numPr>
                <w:ilvl w:val="0"/>
                <w:numId w:val="14"/>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8种注射模式：速度模式、时间模式、体重模式、梯度模式、序列模式、剂量时间模式、间断给药模式、TIVA模式</w:t>
            </w:r>
            <w:r>
              <w:rPr>
                <w:rFonts w:hint="eastAsia" w:ascii="宋体" w:hAnsi="宋体" w:cs="宋体"/>
                <w:color w:val="000000"/>
                <w:sz w:val="24"/>
                <w:szCs w:val="24"/>
                <w:lang w:val="en-US" w:eastAsia="zh-CN"/>
              </w:rPr>
            </w:r>
            <w:r/>
          </w:p>
          <w:p>
            <w:pPr>
              <w:pStyle w:val="985"/>
              <w:numPr>
                <w:ilvl w:val="0"/>
                <w:numId w:val="14"/>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配备不小于3.5英寸彩色显示屏，电容触摸屏技术</w:t>
            </w:r>
            <w:r>
              <w:rPr>
                <w:rFonts w:hint="eastAsia" w:ascii="宋体" w:hAnsi="宋体" w:cs="宋体"/>
                <w:color w:val="000000"/>
                <w:sz w:val="24"/>
                <w:szCs w:val="24"/>
                <w:lang w:val="en-US" w:eastAsia="zh-CN"/>
              </w:rPr>
            </w:r>
            <w:r/>
          </w:p>
          <w:p>
            <w:pPr>
              <w:pStyle w:val="985"/>
              <w:numPr>
                <w:ilvl w:val="0"/>
                <w:numId w:val="14"/>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支持药物库，可储存5000种药物信息</w:t>
            </w:r>
            <w:r>
              <w:rPr>
                <w:rFonts w:hint="eastAsia" w:ascii="宋体" w:hAnsi="宋体" w:cs="宋体"/>
                <w:color w:val="000000"/>
                <w:sz w:val="24"/>
                <w:szCs w:val="24"/>
                <w:lang w:val="en-US" w:eastAsia="zh-CN"/>
              </w:rPr>
            </w:r>
            <w:r/>
          </w:p>
          <w:p>
            <w:pPr>
              <w:pStyle w:val="985"/>
              <w:numPr>
                <w:ilvl w:val="0"/>
                <w:numId w:val="14"/>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支持药物色彩标识，选择不同类型药物时对应的药物色彩标识自动显示在屏幕上，支持4种以上颜色</w:t>
            </w:r>
            <w:r>
              <w:rPr>
                <w:rFonts w:hint="eastAsia" w:ascii="宋体" w:hAnsi="宋体" w:cs="宋体"/>
                <w:color w:val="000000"/>
                <w:sz w:val="24"/>
                <w:szCs w:val="24"/>
                <w:lang w:val="en-US" w:eastAsia="zh-CN"/>
              </w:rPr>
            </w:r>
            <w:r/>
          </w:p>
          <w:p>
            <w:pPr>
              <w:pStyle w:val="985"/>
              <w:numPr>
                <w:ilvl w:val="0"/>
                <w:numId w:val="14"/>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在线动态压力监测，可实时显示当前压力数值；</w:t>
            </w:r>
            <w:r>
              <w:rPr>
                <w:rFonts w:hint="eastAsia" w:ascii="宋体" w:hAnsi="宋体" w:cs="宋体"/>
                <w:color w:val="000000"/>
                <w:sz w:val="24"/>
                <w:szCs w:val="24"/>
                <w:lang w:val="en-US" w:eastAsia="zh-CN"/>
              </w:rPr>
            </w:r>
            <w:r/>
          </w:p>
          <w:p>
            <w:pPr>
              <w:pStyle w:val="985"/>
              <w:numPr>
                <w:ilvl w:val="0"/>
                <w:numId w:val="14"/>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压力报警阈值至少15档可调，最低可设置50mmHg</w:t>
            </w:r>
            <w:r>
              <w:rPr>
                <w:rFonts w:hint="eastAsia" w:ascii="宋体" w:hAnsi="宋体" w:cs="宋体"/>
                <w:color w:val="000000"/>
                <w:sz w:val="24"/>
                <w:szCs w:val="24"/>
                <w:lang w:val="en-US" w:eastAsia="zh-CN"/>
              </w:rPr>
            </w:r>
            <w:r/>
          </w:p>
          <w:p>
            <w:pPr>
              <w:pStyle w:val="985"/>
              <w:numPr>
                <w:ilvl w:val="0"/>
                <w:numId w:val="14"/>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具备阻塞前预警提示功能，当管路压力未触发阻塞报警时，泵可自动识别压力上升并在屏幕上进行提示</w:t>
            </w:r>
            <w:r>
              <w:rPr>
                <w:rFonts w:hint="eastAsia" w:ascii="宋体" w:hAnsi="宋体" w:cs="宋体"/>
                <w:color w:val="000000"/>
                <w:sz w:val="24"/>
                <w:szCs w:val="24"/>
                <w:lang w:val="en-US" w:eastAsia="zh-CN"/>
              </w:rPr>
            </w:r>
            <w:r/>
          </w:p>
          <w:p>
            <w:pPr>
              <w:pStyle w:val="985"/>
              <w:numPr>
                <w:ilvl w:val="0"/>
                <w:numId w:val="14"/>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具备阻塞后自动重启输液功能，短暂性阻塞触发报警后，泵检测到阻塞压力缓解时，无需人为干预，泵自动重新启动输液</w:t>
            </w:r>
            <w:r>
              <w:rPr>
                <w:rFonts w:hint="eastAsia" w:ascii="宋体" w:hAnsi="宋体" w:cs="宋体"/>
                <w:color w:val="000000"/>
                <w:sz w:val="24"/>
                <w:szCs w:val="24"/>
                <w:lang w:val="en-US" w:eastAsia="zh-CN"/>
              </w:rPr>
            </w:r>
            <w:r/>
          </w:p>
          <w:p>
            <w:pPr>
              <w:pStyle w:val="985"/>
              <w:numPr>
                <w:ilvl w:val="0"/>
                <w:numId w:val="14"/>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信息储存：可存储5000条的历史记录</w:t>
            </w:r>
            <w:r>
              <w:rPr>
                <w:rFonts w:hint="eastAsia" w:ascii="宋体" w:hAnsi="宋体" w:cs="宋体"/>
                <w:color w:val="000000"/>
                <w:sz w:val="24"/>
                <w:szCs w:val="24"/>
                <w:lang w:val="en-US" w:eastAsia="zh-CN"/>
              </w:rPr>
            </w:r>
            <w:r/>
          </w:p>
          <w:p>
            <w:pPr>
              <w:pStyle w:val="985"/>
              <w:numPr>
                <w:ilvl w:val="0"/>
                <w:numId w:val="14"/>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电池工作时间≥6.5小时@5ml/h</w:t>
            </w:r>
            <w:r>
              <w:rPr>
                <w:rFonts w:hint="eastAsia" w:ascii="宋体" w:hAnsi="宋体" w:cs="宋体"/>
                <w:color w:val="000000"/>
                <w:sz w:val="24"/>
                <w:szCs w:val="24"/>
                <w:lang w:val="en-US" w:eastAsia="zh-CN"/>
              </w:rPr>
            </w:r>
            <w:r/>
          </w:p>
          <w:p>
            <w:pPr>
              <w:pStyle w:val="985"/>
              <w:numPr>
                <w:ilvl w:val="0"/>
                <w:numId w:val="14"/>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防异物及进液等级IP44</w:t>
            </w:r>
            <w:r>
              <w:rPr>
                <w:rFonts w:hint="eastAsia" w:ascii="宋体" w:hAnsi="宋体" w:cs="宋体"/>
                <w:color w:val="000000"/>
                <w:sz w:val="24"/>
                <w:szCs w:val="24"/>
                <w:lang w:val="en-US" w:eastAsia="zh-CN"/>
              </w:rPr>
            </w:r>
            <w:r/>
          </w:p>
          <w:p>
            <w:pPr>
              <w:pStyle w:val="985"/>
              <w:numPr>
                <w:ilvl w:val="0"/>
                <w:numId w:val="14"/>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整机重量不超过2.8kg</w:t>
            </w:r>
            <w:r>
              <w:rPr>
                <w:rFonts w:hint="eastAsia" w:ascii="宋体" w:hAnsi="宋体" w:cs="宋体"/>
                <w:color w:val="000000"/>
                <w:sz w:val="24"/>
                <w:szCs w:val="24"/>
                <w:lang w:val="en-US" w:eastAsia="zh-CN"/>
              </w:rPr>
            </w:r>
            <w:r/>
          </w:p>
          <w:p>
            <w:pPr>
              <w:pStyle w:val="895"/>
              <w:jc w:val="left"/>
              <w:spacing w:line="360" w:lineRule="auto"/>
              <w:widowControl/>
              <w:rPr>
                <w:rFonts w:hint="eastAsia" w:ascii="宋体" w:hAnsi="宋体" w:cs="宋体"/>
                <w:sz w:val="24"/>
              </w:rPr>
            </w:pPr>
            <w:r>
              <w:rPr>
                <w:rFonts w:hint="eastAsia" w:ascii="宋体" w:hAnsi="宋体" w:cs="宋体"/>
                <w:sz w:val="24"/>
              </w:rPr>
            </w:r>
            <w:r/>
          </w:p>
        </w:tc>
      </w:tr>
      <w:tr>
        <w:trPr/>
        <w:tc>
          <w:tcPr>
            <w:tcW w:w="966" w:type="dxa"/>
            <w:vAlign w:val="center"/>
            <w:textDirection w:val="lrTb"/>
            <w:noWrap w:val="false"/>
          </w:tcPr>
          <w:p>
            <w:pPr>
              <w:pStyle w:val="895"/>
              <w:jc w:val="center"/>
              <w:spacing w:line="360" w:lineRule="auto"/>
              <w:widowControl/>
              <w:rPr>
                <w:rFonts w:hint="eastAsia" w:ascii="宋体" w:hAnsi="宋体" w:cs="Arial"/>
                <w:b/>
                <w:bCs/>
                <w:sz w:val="24"/>
              </w:rPr>
            </w:pPr>
            <w:r>
              <w:rPr>
                <w:rFonts w:hint="eastAsia" w:ascii="宋体" w:hAnsi="宋体" w:cs="Arial"/>
                <w:b/>
                <w:bCs/>
                <w:sz w:val="24"/>
              </w:rPr>
              <w:t xml:space="preserve">二十一</w:t>
            </w:r>
            <w:r>
              <w:rPr>
                <w:rFonts w:hint="eastAsia" w:ascii="宋体" w:hAnsi="宋体" w:cs="Arial"/>
                <w:b/>
                <w:bCs/>
                <w:sz w:val="24"/>
              </w:rPr>
            </w:r>
            <w:r/>
          </w:p>
        </w:tc>
        <w:tc>
          <w:tcPr>
            <w:tcW w:w="1138" w:type="dxa"/>
            <w:vAlign w:val="center"/>
            <w:textDirection w:val="lrTb"/>
            <w:noWrap w:val="false"/>
          </w:tcPr>
          <w:p>
            <w:pPr>
              <w:pStyle w:val="895"/>
              <w:jc w:val="center"/>
              <w:spacing w:line="360" w:lineRule="auto"/>
              <w:widowControl/>
              <w:rPr>
                <w:rFonts w:ascii="宋体" w:hAnsi="宋体"/>
                <w:b/>
                <w:bCs/>
                <w:sz w:val="24"/>
              </w:rPr>
            </w:pPr>
            <w:r>
              <w:rPr>
                <w:rFonts w:hint="eastAsia" w:ascii="宋体" w:hAnsi="宋体"/>
                <w:b/>
                <w:bCs/>
                <w:sz w:val="24"/>
              </w:rPr>
              <w:t xml:space="preserve">可视喉镜</w:t>
            </w:r>
            <w:r>
              <w:rPr>
                <w:rFonts w:ascii="宋体" w:hAnsi="宋体"/>
                <w:b/>
                <w:bCs/>
                <w:sz w:val="24"/>
              </w:rPr>
            </w:r>
            <w:r/>
          </w:p>
        </w:tc>
        <w:tc>
          <w:tcPr>
            <w:tcW w:w="891" w:type="dxa"/>
            <w:vAlign w:val="center"/>
            <w:textDirection w:val="lrTb"/>
            <w:noWrap w:val="false"/>
          </w:tcPr>
          <w:p>
            <w:pPr>
              <w:pStyle w:val="895"/>
              <w:jc w:val="center"/>
              <w:spacing w:line="360" w:lineRule="auto"/>
              <w:widowControl/>
              <w:rPr>
                <w:rFonts w:hint="eastAsia" w:ascii="宋体" w:hAnsi="宋体" w:cs="宋体"/>
                <w:sz w:val="24"/>
              </w:rPr>
            </w:pPr>
            <w:r>
              <w:rPr>
                <w:rFonts w:hint="eastAsia" w:ascii="宋体" w:hAnsi="宋体" w:cs="宋体"/>
                <w:color w:val="000000"/>
                <w:sz w:val="24"/>
                <w:shd w:val="clear" w:color="auto" w:fill="auto"/>
              </w:rPr>
              <w:t xml:space="preserve">3套</w:t>
            </w:r>
            <w:r>
              <w:rPr>
                <w:rFonts w:hint="eastAsia" w:ascii="宋体" w:hAnsi="宋体" w:cs="宋体"/>
                <w:sz w:val="24"/>
              </w:rPr>
            </w:r>
            <w:r/>
          </w:p>
        </w:tc>
        <w:tc>
          <w:tcPr>
            <w:tcW w:w="5713" w:type="dxa"/>
            <w:vAlign w:val="center"/>
            <w:textDirection w:val="lrTb"/>
            <w:noWrap w:val="false"/>
          </w:tcPr>
          <w:p>
            <w:pPr>
              <w:pStyle w:val="895"/>
              <w:jc w:val="left"/>
              <w:spacing w:line="360" w:lineRule="auto"/>
              <w:widowControl/>
              <w:rPr>
                <w:rFonts w:hint="eastAsia" w:ascii="宋体" w:hAnsi="宋体" w:cs="宋体"/>
                <w:sz w:val="24"/>
                <w:shd w:val="clear" w:color="auto" w:fill="auto"/>
              </w:rPr>
            </w:pPr>
            <w:r>
              <w:rPr>
                <w:rFonts w:hint="eastAsia" w:ascii="宋体" w:hAnsi="宋体" w:cs="宋体"/>
                <w:color w:val="000000"/>
                <w:sz w:val="24"/>
                <w:shd w:val="clear" w:color="auto" w:fill="auto"/>
              </w:rPr>
              <w:t xml:space="preserve">1.显示屏尺寸：≥3.0英寸TFT便携显示屏，全视角范围内无反光，小巧、轻捷、方便操作、适应症范围更广泛</w:t>
            </w:r>
            <w:r>
              <w:rPr>
                <w:rFonts w:hint="eastAsia" w:ascii="宋体" w:hAnsi="宋体" w:cs="宋体"/>
                <w:sz w:val="24"/>
                <w:shd w:val="clear" w:color="auto" w:fill="auto"/>
              </w:rPr>
            </w:r>
            <w:r/>
          </w:p>
          <w:p>
            <w:pPr>
              <w:pStyle w:val="895"/>
              <w:jc w:val="left"/>
              <w:spacing w:line="360" w:lineRule="auto"/>
              <w:widowControl/>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t xml:space="preserve">2.显示器能上下0º～130º转动，左右0º～270º转动，方便临床应用和教学演示</w:t>
            </w:r>
            <w:r>
              <w:rPr>
                <w:rFonts w:hint="eastAsia" w:ascii="宋体" w:hAnsi="宋体" w:cs="宋体"/>
                <w:color w:val="000000"/>
                <w:sz w:val="24"/>
                <w:shd w:val="clear" w:color="auto" w:fill="auto"/>
              </w:rPr>
            </w:r>
            <w:r/>
          </w:p>
          <w:p>
            <w:pPr>
              <w:pStyle w:val="895"/>
              <w:jc w:val="left"/>
              <w:spacing w:line="360" w:lineRule="auto"/>
              <w:widowControl/>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3.一次性喉镜片摄像头与镜片前端的最高垂直距离≤30mm，一次性喉镜片可插入镜片长度：108mm</w:t>
            </w:r>
            <w:r>
              <w:rPr>
                <w:rFonts w:hint="eastAsia" w:ascii="宋体" w:hAnsi="宋体" w:cs="宋体"/>
                <w:color w:val="000000"/>
                <w:sz w:val="24"/>
                <w:shd w:val="clear" w:color="auto" w:fill="auto"/>
              </w:rPr>
            </w:r>
            <w:r/>
          </w:p>
          <w:p>
            <w:pPr>
              <w:pStyle w:val="895"/>
              <w:jc w:val="left"/>
              <w:spacing w:line="360" w:lineRule="auto"/>
              <w:widowControl/>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4.渐缩型镜片前端厚度：12.5mm，镜片角度：42度，视场角60º±15%</w:t>
            </w:r>
            <w:r>
              <w:rPr>
                <w:rFonts w:hint="eastAsia" w:ascii="宋体" w:hAnsi="宋体" w:cs="宋体"/>
                <w:color w:val="000000"/>
                <w:sz w:val="24"/>
                <w:shd w:val="clear" w:color="auto" w:fill="auto"/>
              </w:rPr>
            </w:r>
            <w:r/>
          </w:p>
          <w:p>
            <w:pPr>
              <w:pStyle w:val="895"/>
              <w:jc w:val="left"/>
              <w:spacing w:line="360" w:lineRule="auto"/>
              <w:widowControl/>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5.摄像头内置的全密封防水设计高功率LED光源，光照度≥150Lux，显示器像素为720*480，分辨率≥7.87LP/mm，纺锤型短手柄设计，握持舒适</w:t>
            </w:r>
            <w:r>
              <w:rPr>
                <w:rFonts w:hint="eastAsia" w:ascii="宋体" w:hAnsi="宋体" w:cs="宋体"/>
                <w:color w:val="000000"/>
                <w:sz w:val="24"/>
                <w:shd w:val="clear" w:color="auto" w:fill="auto"/>
              </w:rPr>
            </w:r>
            <w:r/>
          </w:p>
          <w:p>
            <w:pPr>
              <w:pStyle w:val="895"/>
              <w:jc w:val="left"/>
              <w:spacing w:line="360" w:lineRule="auto"/>
              <w:widowControl/>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6.显示器和喉镜镜柄一体式设计，无需拆卸，使用便捷。</w:t>
            </w:r>
            <w:r>
              <w:rPr>
                <w:rFonts w:hint="eastAsia" w:ascii="宋体" w:hAnsi="宋体" w:cs="宋体"/>
                <w:color w:val="000000"/>
                <w:sz w:val="24"/>
                <w:shd w:val="clear" w:color="auto" w:fill="auto"/>
              </w:rPr>
            </w:r>
            <w:r/>
          </w:p>
          <w:p>
            <w:pPr>
              <w:pStyle w:val="895"/>
              <w:jc w:val="left"/>
              <w:spacing w:line="360" w:lineRule="auto"/>
              <w:widowControl/>
              <w:rPr>
                <w:rFonts w:hint="eastAsia" w:ascii="宋体" w:hAnsi="宋体" w:cs="宋体"/>
                <w:sz w:val="24"/>
              </w:rPr>
            </w:pPr>
            <w:r>
              <w:rPr>
                <w:rFonts w:hint="eastAsia" w:ascii="宋体" w:hAnsi="宋体" w:cs="宋体"/>
                <w:color w:val="000000"/>
                <w:sz w:val="24"/>
                <w:shd w:val="clear" w:color="auto" w:fill="auto"/>
              </w:rPr>
              <w:t xml:space="preserve">7.标配专用硬质气管插管导丝</w:t>
            </w:r>
            <w:r>
              <w:rPr>
                <w:rFonts w:hint="eastAsia" w:ascii="宋体" w:hAnsi="宋体" w:cs="宋体"/>
                <w:sz w:val="24"/>
              </w:rPr>
            </w:r>
            <w:r/>
          </w:p>
        </w:tc>
      </w:tr>
      <w:tr>
        <w:trPr/>
        <w:tc>
          <w:tcPr>
            <w:tcW w:w="966" w:type="dxa"/>
            <w:vAlign w:val="center"/>
            <w:textDirection w:val="lrTb"/>
            <w:noWrap w:val="false"/>
          </w:tcPr>
          <w:p>
            <w:pPr>
              <w:pStyle w:val="895"/>
              <w:jc w:val="center"/>
              <w:widowControl/>
              <w:rPr>
                <w:rFonts w:hint="eastAsia" w:ascii="宋体" w:hAnsi="宋体" w:cs="Arial"/>
                <w:b/>
                <w:bCs/>
                <w:sz w:val="24"/>
              </w:rPr>
            </w:pPr>
            <w:r>
              <w:rPr>
                <w:rFonts w:hint="eastAsia" w:ascii="宋体" w:hAnsi="宋体" w:cs="宋体"/>
                <w:b/>
                <w:bCs/>
                <w:sz w:val="24"/>
                <w:szCs w:val="21"/>
              </w:rPr>
              <w:t xml:space="preserve">二十二</w:t>
            </w:r>
            <w:r>
              <w:rPr>
                <w:rFonts w:hint="eastAsia" w:ascii="宋体" w:hAnsi="宋体" w:cs="Arial"/>
                <w:b/>
                <w:bCs/>
                <w:sz w:val="24"/>
              </w:rPr>
            </w:r>
            <w:r/>
          </w:p>
        </w:tc>
        <w:tc>
          <w:tcPr>
            <w:tcW w:w="1138" w:type="dxa"/>
            <w:vAlign w:val="center"/>
            <w:textDirection w:val="lrTb"/>
            <w:noWrap w:val="false"/>
          </w:tcPr>
          <w:p>
            <w:pPr>
              <w:pStyle w:val="895"/>
              <w:jc w:val="center"/>
              <w:widowControl/>
              <w:rPr>
                <w:rFonts w:ascii="宋体" w:hAnsi="宋体"/>
                <w:b/>
                <w:bCs/>
                <w:sz w:val="24"/>
              </w:rPr>
            </w:pPr>
            <w:r>
              <w:rPr>
                <w:rFonts w:hint="eastAsia" w:ascii="宋体" w:hAnsi="宋体" w:cs="宋体"/>
                <w:b/>
                <w:bCs/>
                <w:sz w:val="24"/>
                <w:szCs w:val="21"/>
              </w:rPr>
              <w:t xml:space="preserve">智能车载调度终端</w:t>
            </w:r>
            <w:r>
              <w:rPr>
                <w:rFonts w:ascii="宋体" w:hAnsi="宋体"/>
                <w:b/>
                <w:bCs/>
                <w:sz w:val="24"/>
              </w:rPr>
            </w:r>
            <w:r/>
          </w:p>
        </w:tc>
        <w:tc>
          <w:tcPr>
            <w:tcW w:w="891" w:type="dxa"/>
            <w:vAlign w:val="center"/>
            <w:textDirection w:val="lrTb"/>
            <w:noWrap w:val="false"/>
          </w:tcPr>
          <w:p>
            <w:pPr>
              <w:pStyle w:val="895"/>
              <w:jc w:val="center"/>
              <w:widowControl/>
              <w:rPr>
                <w:rFonts w:ascii="宋体" w:hAnsi="宋体" w:cs="宋体"/>
                <w:color w:val="000000"/>
                <w:sz w:val="24"/>
                <w:shd w:val="clear" w:color="auto" w:fill="f5f5f5"/>
              </w:rPr>
            </w:pPr>
            <w:r>
              <w:rPr>
                <w:rFonts w:hint="eastAsia" w:ascii="宋体" w:hAnsi="宋体" w:cs="宋体"/>
                <w:color w:val="000000"/>
                <w:sz w:val="24"/>
                <w:shd w:val="clear" w:color="auto" w:fill="auto"/>
              </w:rPr>
              <w:t xml:space="preserve">每车配备一套，共2套</w:t>
            </w:r>
            <w:r>
              <w:rPr>
                <w:rFonts w:ascii="宋体" w:hAnsi="宋体" w:cs="宋体"/>
                <w:color w:val="000000"/>
                <w:sz w:val="24"/>
                <w:shd w:val="clear" w:color="auto" w:fill="f5f5f5"/>
              </w:rPr>
            </w:r>
            <w:r/>
          </w:p>
        </w:tc>
        <w:tc>
          <w:tcPr>
            <w:tcW w:w="5713" w:type="dxa"/>
            <w:vAlign w:val="center"/>
            <w:textDirection w:val="lrTb"/>
            <w:noWrap w:val="false"/>
          </w:tcPr>
          <w:p>
            <w:pPr>
              <w:pStyle w:val="895"/>
              <w:numPr>
                <w:ilvl w:val="0"/>
                <w:numId w:val="15"/>
              </w:numPr>
              <w:jc w:val="left"/>
              <w:widowControl/>
              <w:rPr>
                <w:rFonts w:hint="eastAsia" w:ascii="宋体" w:hAnsi="宋体" w:cs="宋体"/>
                <w:sz w:val="24"/>
                <w:szCs w:val="21"/>
              </w:rPr>
            </w:pPr>
            <w:r>
              <w:rPr>
                <w:rFonts w:hint="eastAsia" w:ascii="宋体" w:hAnsi="宋体" w:cs="宋体"/>
                <w:sz w:val="24"/>
                <w:szCs w:val="21"/>
              </w:rPr>
              <w:t xml:space="preserve">CPU</w:t>
            </w:r>
            <w:r>
              <w:rPr>
                <w:rFonts w:hint="eastAsia" w:ascii="宋体" w:hAnsi="宋体"/>
                <w:sz w:val="24"/>
              </w:rPr>
              <w:t xml:space="preserve">技术要求：</w:t>
            </w:r>
            <w:r>
              <w:rPr>
                <w:rFonts w:hint="eastAsia" w:ascii="宋体" w:hAnsi="宋体" w:cs="宋体"/>
                <w:sz w:val="24"/>
                <w:szCs w:val="21"/>
              </w:rPr>
              <w:t xml:space="preserve">四核64位、2.0GHz、</w:t>
            </w:r>
            <w:r>
              <w:rPr>
                <w:rFonts w:hint="eastAsia" w:ascii="宋体" w:hAnsi="宋体" w:cs="宋体"/>
                <w:sz w:val="24"/>
                <w:szCs w:val="21"/>
              </w:rPr>
            </w:r>
            <w:r/>
          </w:p>
          <w:p>
            <w:pPr>
              <w:pStyle w:val="895"/>
              <w:numPr>
                <w:ilvl w:val="0"/>
                <w:numId w:val="15"/>
              </w:numPr>
              <w:jc w:val="left"/>
              <w:widowControl/>
              <w:rPr>
                <w:rFonts w:hint="eastAsia" w:ascii="宋体" w:hAnsi="宋体" w:cs="宋体"/>
                <w:sz w:val="24"/>
                <w:szCs w:val="21"/>
              </w:rPr>
            </w:pPr>
            <w:r>
              <w:rPr>
                <w:rFonts w:hint="eastAsia" w:ascii="宋体" w:hAnsi="宋体" w:cs="宋体"/>
                <w:sz w:val="24"/>
                <w:szCs w:val="21"/>
              </w:rPr>
              <w:t xml:space="preserve">GPU</w:t>
            </w:r>
            <w:r>
              <w:rPr>
                <w:rFonts w:hint="eastAsia" w:ascii="宋体" w:hAnsi="宋体"/>
                <w:sz w:val="24"/>
              </w:rPr>
              <w:t xml:space="preserve">技术要求：</w:t>
            </w:r>
            <w:r>
              <w:rPr>
                <w:rFonts w:hint="eastAsia" w:ascii="宋体" w:hAnsi="宋体" w:cs="宋体"/>
                <w:sz w:val="24"/>
                <w:szCs w:val="21"/>
              </w:rPr>
              <w:t xml:space="preserve">内置GPU</w:t>
            </w:r>
            <w:r>
              <w:rPr>
                <w:rFonts w:hint="eastAsia" w:ascii="宋体" w:hAnsi="宋体" w:cs="宋体"/>
                <w:sz w:val="24"/>
                <w:szCs w:val="21"/>
              </w:rPr>
            </w:r>
            <w:r/>
          </w:p>
          <w:p>
            <w:pPr>
              <w:pStyle w:val="895"/>
              <w:numPr>
                <w:ilvl w:val="0"/>
                <w:numId w:val="15"/>
              </w:numPr>
              <w:jc w:val="left"/>
              <w:widowControl/>
              <w:rPr>
                <w:rFonts w:hint="eastAsia" w:ascii="宋体" w:hAnsi="宋体" w:cs="宋体"/>
                <w:sz w:val="24"/>
                <w:szCs w:val="21"/>
              </w:rPr>
            </w:pPr>
            <w:r>
              <w:rPr>
                <w:rFonts w:hint="eastAsia" w:ascii="宋体" w:hAnsi="宋体" w:cs="宋体"/>
                <w:sz w:val="24"/>
                <w:szCs w:val="21"/>
              </w:rPr>
              <w:t xml:space="preserve">操作系统</w:t>
            </w:r>
            <w:r>
              <w:rPr>
                <w:rFonts w:hint="eastAsia" w:ascii="宋体" w:hAnsi="宋体"/>
                <w:sz w:val="24"/>
              </w:rPr>
              <w:t xml:space="preserve">技术要求：</w:t>
            </w:r>
            <w:r>
              <w:rPr>
                <w:rFonts w:hint="eastAsia" w:ascii="宋体" w:hAnsi="宋体" w:cs="宋体"/>
                <w:sz w:val="24"/>
                <w:szCs w:val="21"/>
              </w:rPr>
              <w:t xml:space="preserve">Android 11.0操作系统</w:t>
            </w:r>
            <w:r>
              <w:rPr>
                <w:rFonts w:hint="eastAsia" w:ascii="宋体" w:hAnsi="宋体" w:cs="宋体"/>
                <w:sz w:val="24"/>
                <w:szCs w:val="21"/>
              </w:rPr>
            </w:r>
            <w:r/>
          </w:p>
          <w:p>
            <w:pPr>
              <w:pStyle w:val="895"/>
              <w:numPr>
                <w:ilvl w:val="0"/>
                <w:numId w:val="15"/>
              </w:numPr>
              <w:jc w:val="left"/>
              <w:widowControl/>
              <w:rPr>
                <w:rFonts w:hint="eastAsia" w:ascii="宋体" w:hAnsi="宋体" w:cs="宋体"/>
                <w:sz w:val="24"/>
                <w:szCs w:val="21"/>
              </w:rPr>
            </w:pPr>
            <w:r>
              <w:rPr>
                <w:rFonts w:hint="eastAsia" w:ascii="宋体" w:hAnsi="宋体" w:cs="宋体"/>
                <w:sz w:val="24"/>
                <w:szCs w:val="21"/>
              </w:rPr>
              <w:t xml:space="preserve">内存：4GB</w:t>
            </w:r>
            <w:r>
              <w:rPr>
                <w:rFonts w:hint="eastAsia" w:ascii="宋体" w:hAnsi="宋体" w:cs="宋体"/>
                <w:sz w:val="24"/>
                <w:szCs w:val="21"/>
              </w:rPr>
            </w:r>
            <w:r/>
          </w:p>
          <w:p>
            <w:pPr>
              <w:pStyle w:val="895"/>
              <w:numPr>
                <w:ilvl w:val="0"/>
                <w:numId w:val="15"/>
              </w:numPr>
              <w:jc w:val="left"/>
              <w:widowControl/>
              <w:rPr>
                <w:rFonts w:hint="eastAsia" w:ascii="宋体" w:hAnsi="宋体" w:cs="宋体"/>
                <w:sz w:val="24"/>
                <w:szCs w:val="21"/>
              </w:rPr>
            </w:pPr>
            <w:r>
              <w:rPr>
                <w:rFonts w:hint="eastAsia" w:ascii="宋体" w:hAnsi="宋体" w:cs="宋体"/>
                <w:sz w:val="24"/>
                <w:szCs w:val="21"/>
              </w:rPr>
              <w:t xml:space="preserve">存储器：64GB</w:t>
            </w:r>
            <w:r>
              <w:rPr>
                <w:rFonts w:hint="eastAsia" w:ascii="宋体" w:hAnsi="宋体" w:cs="宋体"/>
                <w:sz w:val="24"/>
                <w:szCs w:val="21"/>
              </w:rPr>
            </w:r>
            <w:r/>
          </w:p>
          <w:p>
            <w:pPr>
              <w:pStyle w:val="895"/>
              <w:numPr>
                <w:ilvl w:val="0"/>
                <w:numId w:val="15"/>
              </w:numPr>
              <w:jc w:val="left"/>
              <w:widowControl/>
              <w:rPr>
                <w:rFonts w:hint="eastAsia" w:ascii="宋体" w:hAnsi="宋体" w:cs="宋体"/>
                <w:sz w:val="24"/>
                <w:szCs w:val="21"/>
              </w:rPr>
            </w:pPr>
            <w:r>
              <w:rPr>
                <w:rFonts w:hint="eastAsia" w:ascii="宋体" w:hAnsi="宋体" w:cs="宋体"/>
                <w:sz w:val="24"/>
                <w:szCs w:val="21"/>
              </w:rPr>
              <w:t xml:space="preserve">屏幕采用7英寸TFT真彩，1024*600，电容屏</w:t>
            </w:r>
            <w:r>
              <w:rPr>
                <w:rFonts w:hint="eastAsia" w:ascii="宋体" w:hAnsi="宋体" w:cs="宋体"/>
                <w:sz w:val="24"/>
                <w:szCs w:val="21"/>
              </w:rPr>
            </w:r>
            <w:r/>
          </w:p>
          <w:p>
            <w:pPr>
              <w:pStyle w:val="895"/>
              <w:numPr>
                <w:ilvl w:val="0"/>
                <w:numId w:val="15"/>
              </w:numPr>
              <w:jc w:val="left"/>
              <w:widowControl/>
              <w:rPr>
                <w:rFonts w:hint="eastAsia" w:ascii="宋体" w:hAnsi="宋体" w:cs="宋体"/>
                <w:sz w:val="24"/>
                <w:szCs w:val="21"/>
              </w:rPr>
            </w:pPr>
            <w:r>
              <w:rPr>
                <w:rFonts w:hint="eastAsia" w:ascii="宋体" w:hAnsi="宋体" w:cs="宋体"/>
                <w:sz w:val="24"/>
                <w:szCs w:val="21"/>
              </w:rPr>
              <w:t xml:space="preserve">可接入国内所有运营商4G网络，兼容3 G/2G</w:t>
            </w:r>
            <w:r>
              <w:rPr>
                <w:rFonts w:hint="eastAsia" w:ascii="宋体" w:hAnsi="宋体" w:cs="宋体"/>
                <w:sz w:val="24"/>
                <w:szCs w:val="21"/>
              </w:rPr>
            </w:r>
            <w:r/>
          </w:p>
          <w:p>
            <w:pPr>
              <w:pStyle w:val="895"/>
              <w:numPr>
                <w:ilvl w:val="0"/>
                <w:numId w:val="15"/>
              </w:numPr>
              <w:jc w:val="left"/>
              <w:widowControl/>
              <w:rPr>
                <w:rFonts w:hint="eastAsia" w:ascii="宋体" w:hAnsi="宋体" w:cs="宋体"/>
                <w:sz w:val="24"/>
                <w:szCs w:val="21"/>
              </w:rPr>
            </w:pPr>
            <w:r>
              <w:rPr>
                <w:rFonts w:hint="eastAsia" w:ascii="宋体" w:hAnsi="宋体" w:cs="宋体"/>
                <w:sz w:val="24"/>
                <w:szCs w:val="21"/>
              </w:rPr>
              <w:t xml:space="preserve">支持 TCP/ UDP/PPP 协议</w:t>
            </w:r>
            <w:r>
              <w:rPr>
                <w:rFonts w:hint="eastAsia" w:ascii="宋体" w:hAnsi="宋体" w:cs="宋体"/>
                <w:sz w:val="24"/>
                <w:szCs w:val="21"/>
              </w:rPr>
            </w:r>
            <w:r/>
          </w:p>
          <w:p>
            <w:pPr>
              <w:pStyle w:val="895"/>
              <w:numPr>
                <w:ilvl w:val="0"/>
                <w:numId w:val="15"/>
              </w:numPr>
              <w:jc w:val="left"/>
              <w:widowControl/>
              <w:rPr>
                <w:rFonts w:hint="eastAsia" w:ascii="宋体" w:hAnsi="宋体" w:cs="宋体"/>
                <w:sz w:val="24"/>
                <w:szCs w:val="21"/>
              </w:rPr>
            </w:pPr>
            <w:r>
              <w:rPr>
                <w:rFonts w:hint="eastAsia" w:ascii="宋体" w:hAnsi="宋体" w:cs="宋体"/>
                <w:sz w:val="24"/>
                <w:szCs w:val="21"/>
              </w:rPr>
              <w:t xml:space="preserve">只支持BDS单模板，不得支持其他定位方式</w:t>
            </w:r>
            <w:r>
              <w:rPr>
                <w:rFonts w:hint="eastAsia" w:ascii="宋体" w:hAnsi="宋体" w:cs="宋体"/>
                <w:sz w:val="24"/>
                <w:szCs w:val="21"/>
              </w:rPr>
            </w:r>
            <w:r/>
          </w:p>
          <w:p>
            <w:pPr>
              <w:pStyle w:val="895"/>
              <w:numPr>
                <w:ilvl w:val="0"/>
                <w:numId w:val="15"/>
              </w:numPr>
              <w:jc w:val="left"/>
              <w:widowControl/>
              <w:rPr>
                <w:rFonts w:hint="eastAsia" w:ascii="宋体" w:hAnsi="宋体" w:cs="宋体"/>
                <w:sz w:val="24"/>
                <w:szCs w:val="21"/>
              </w:rPr>
            </w:pPr>
            <w:r>
              <w:rPr>
                <w:rFonts w:hint="eastAsia" w:ascii="宋体" w:hAnsi="宋体" w:cs="宋体"/>
                <w:sz w:val="24"/>
                <w:szCs w:val="21"/>
              </w:rPr>
              <w:t xml:space="preserve">支持宽范围输入，抗瞬态尖峰和浪涌，输入电压：DC 9~32V（支持 12V 和 24V 车辆）</w:t>
            </w:r>
            <w:r>
              <w:rPr>
                <w:rFonts w:hint="eastAsia" w:ascii="宋体" w:hAnsi="宋体" w:cs="宋体"/>
                <w:sz w:val="24"/>
                <w:szCs w:val="21"/>
              </w:rPr>
            </w:r>
            <w:r/>
          </w:p>
          <w:p>
            <w:pPr>
              <w:pStyle w:val="895"/>
              <w:numPr>
                <w:ilvl w:val="0"/>
                <w:numId w:val="15"/>
              </w:numPr>
              <w:jc w:val="left"/>
              <w:widowControl/>
              <w:rPr>
                <w:rFonts w:hint="eastAsia" w:ascii="宋体" w:hAnsi="宋体" w:cs="宋体"/>
                <w:sz w:val="24"/>
                <w:szCs w:val="21"/>
              </w:rPr>
            </w:pPr>
            <w:r>
              <w:rPr>
                <w:rFonts w:hint="eastAsia" w:ascii="宋体" w:hAnsi="宋体" w:cs="宋体"/>
                <w:sz w:val="24"/>
                <w:szCs w:val="21"/>
              </w:rPr>
              <w:t xml:space="preserve">工作功耗≤6W </w:t>
            </w:r>
            <w:r>
              <w:rPr>
                <w:rFonts w:hint="eastAsia" w:ascii="宋体" w:hAnsi="宋体" w:cs="宋体"/>
                <w:sz w:val="24"/>
                <w:szCs w:val="21"/>
              </w:rPr>
            </w:r>
            <w:r/>
          </w:p>
          <w:p>
            <w:pPr>
              <w:pStyle w:val="895"/>
              <w:numPr>
                <w:ilvl w:val="0"/>
                <w:numId w:val="15"/>
              </w:numPr>
              <w:jc w:val="left"/>
              <w:widowControl/>
              <w:rPr>
                <w:rFonts w:hint="eastAsia" w:ascii="宋体" w:hAnsi="宋体" w:cs="宋体"/>
                <w:sz w:val="24"/>
                <w:szCs w:val="21"/>
              </w:rPr>
            </w:pPr>
            <w:r>
              <w:rPr>
                <w:rFonts w:hint="eastAsia" w:ascii="宋体" w:hAnsi="宋体" w:cs="宋体"/>
                <w:sz w:val="24"/>
                <w:szCs w:val="21"/>
              </w:rPr>
              <w:t xml:space="preserve">具备有效的电源管理功能</w:t>
            </w:r>
            <w:r>
              <w:rPr>
                <w:rFonts w:hint="eastAsia" w:ascii="宋体" w:hAnsi="宋体" w:cs="宋体"/>
                <w:sz w:val="24"/>
                <w:szCs w:val="21"/>
              </w:rPr>
            </w:r>
            <w:r/>
          </w:p>
          <w:p>
            <w:pPr>
              <w:pStyle w:val="895"/>
              <w:numPr>
                <w:ilvl w:val="0"/>
                <w:numId w:val="15"/>
              </w:numPr>
              <w:jc w:val="left"/>
              <w:widowControl/>
              <w:rPr>
                <w:rFonts w:hint="eastAsia" w:ascii="宋体" w:hAnsi="宋体" w:cs="宋体"/>
                <w:sz w:val="24"/>
                <w:szCs w:val="21"/>
              </w:rPr>
            </w:pPr>
            <w:r>
              <w:rPr>
                <w:rFonts w:hint="eastAsia" w:ascii="宋体" w:hAnsi="宋体" w:cs="宋体"/>
                <w:sz w:val="24"/>
                <w:szCs w:val="21"/>
              </w:rPr>
              <w:t xml:space="preserve">最高耐压：100V/DC</w:t>
            </w:r>
            <w:r>
              <w:rPr>
                <w:rFonts w:hint="eastAsia" w:ascii="宋体" w:hAnsi="宋体" w:cs="宋体"/>
                <w:sz w:val="24"/>
                <w:szCs w:val="21"/>
              </w:rPr>
            </w:r>
            <w:r/>
          </w:p>
          <w:p>
            <w:pPr>
              <w:pStyle w:val="895"/>
              <w:numPr>
                <w:ilvl w:val="0"/>
                <w:numId w:val="15"/>
              </w:numPr>
              <w:jc w:val="left"/>
              <w:widowControl/>
              <w:rPr>
                <w:rFonts w:hint="eastAsia" w:ascii="宋体" w:hAnsi="宋体" w:cs="宋体"/>
                <w:sz w:val="24"/>
                <w:szCs w:val="21"/>
              </w:rPr>
            </w:pPr>
            <w:r>
              <w:rPr>
                <w:rFonts w:hint="eastAsia" w:ascii="宋体" w:hAnsi="宋体" w:cs="宋体"/>
                <w:sz w:val="24"/>
                <w:szCs w:val="21"/>
              </w:rPr>
              <w:t xml:space="preserve">防反接电源&gt;100V/DC</w:t>
            </w:r>
            <w:r>
              <w:rPr>
                <w:rFonts w:hint="eastAsia" w:ascii="宋体" w:hAnsi="宋体" w:cs="宋体"/>
                <w:sz w:val="24"/>
                <w:szCs w:val="21"/>
              </w:rPr>
            </w:r>
            <w:r/>
          </w:p>
          <w:p>
            <w:pPr>
              <w:pStyle w:val="895"/>
              <w:numPr>
                <w:ilvl w:val="0"/>
                <w:numId w:val="15"/>
              </w:numPr>
              <w:jc w:val="left"/>
              <w:widowControl/>
              <w:rPr>
                <w:rFonts w:hint="eastAsia" w:ascii="宋体" w:hAnsi="宋体" w:cs="宋体"/>
                <w:sz w:val="24"/>
                <w:szCs w:val="21"/>
              </w:rPr>
            </w:pPr>
            <w:r>
              <w:rPr>
                <w:rFonts w:hint="eastAsia" w:ascii="宋体" w:hAnsi="宋体" w:cs="宋体"/>
                <w:sz w:val="24"/>
                <w:szCs w:val="21"/>
              </w:rPr>
              <w:t xml:space="preserve">工作温度：-20°C ~ +70°C / RH 45% ~ 85%</w:t>
            </w:r>
            <w:r>
              <w:rPr>
                <w:rFonts w:hint="eastAsia" w:ascii="宋体" w:hAnsi="宋体" w:cs="宋体"/>
                <w:sz w:val="24"/>
                <w:szCs w:val="21"/>
              </w:rPr>
            </w:r>
            <w:r/>
          </w:p>
          <w:p>
            <w:pPr>
              <w:pStyle w:val="895"/>
              <w:numPr>
                <w:ilvl w:val="0"/>
                <w:numId w:val="15"/>
              </w:numPr>
              <w:jc w:val="left"/>
              <w:widowControl/>
              <w:rPr>
                <w:rFonts w:hint="eastAsia" w:ascii="宋体" w:hAnsi="宋体" w:cs="宋体"/>
                <w:sz w:val="24"/>
                <w:szCs w:val="21"/>
              </w:rPr>
            </w:pPr>
            <w:r>
              <w:rPr>
                <w:rFonts w:hint="eastAsia" w:ascii="宋体" w:hAnsi="宋体" w:cs="宋体"/>
                <w:sz w:val="24"/>
                <w:szCs w:val="21"/>
              </w:rPr>
              <w:t xml:space="preserve">储存环境：-35°C ~ +80°C / RH 30% ~ 90%</w:t>
            </w:r>
            <w:r>
              <w:rPr>
                <w:rFonts w:hint="eastAsia" w:ascii="宋体" w:hAnsi="宋体" w:cs="宋体"/>
                <w:sz w:val="24"/>
                <w:szCs w:val="21"/>
              </w:rPr>
            </w:r>
            <w:r/>
          </w:p>
          <w:p>
            <w:pPr>
              <w:pStyle w:val="895"/>
              <w:numPr>
                <w:ilvl w:val="0"/>
                <w:numId w:val="15"/>
              </w:numPr>
              <w:jc w:val="left"/>
              <w:widowControl/>
              <w:rPr>
                <w:rFonts w:hint="eastAsia" w:ascii="宋体" w:hAnsi="宋体" w:cs="宋体"/>
                <w:sz w:val="24"/>
                <w:szCs w:val="21"/>
              </w:rPr>
            </w:pPr>
            <w:r>
              <w:rPr>
                <w:rFonts w:hint="eastAsia" w:ascii="宋体" w:hAnsi="宋体" w:cs="宋体"/>
                <w:sz w:val="24"/>
                <w:szCs w:val="21"/>
              </w:rPr>
              <w:t xml:space="preserve">可定义快捷键≥8个</w:t>
            </w:r>
            <w:r>
              <w:rPr>
                <w:rFonts w:hint="eastAsia" w:ascii="宋体" w:hAnsi="宋体" w:cs="宋体"/>
                <w:sz w:val="24"/>
                <w:szCs w:val="21"/>
              </w:rPr>
            </w:r>
            <w:r/>
          </w:p>
          <w:p>
            <w:pPr>
              <w:pStyle w:val="895"/>
              <w:numPr>
                <w:ilvl w:val="0"/>
                <w:numId w:val="15"/>
              </w:numPr>
              <w:jc w:val="left"/>
              <w:widowControl/>
              <w:rPr>
                <w:rFonts w:hint="eastAsia" w:ascii="宋体" w:hAnsi="宋体" w:cs="宋体"/>
                <w:sz w:val="24"/>
                <w:szCs w:val="21"/>
              </w:rPr>
            </w:pPr>
            <w:r>
              <w:rPr>
                <w:rFonts w:hint="eastAsia" w:ascii="宋体" w:hAnsi="宋体" w:cs="宋体"/>
                <w:sz w:val="24"/>
                <w:szCs w:val="21"/>
              </w:rPr>
              <w:t xml:space="preserve">软件功能：</w:t>
            </w:r>
            <w:r>
              <w:rPr>
                <w:rFonts w:hint="eastAsia" w:ascii="宋体" w:hAnsi="宋体" w:cs="宋体"/>
                <w:sz w:val="24"/>
                <w:szCs w:val="21"/>
              </w:rPr>
            </w:r>
            <w:r/>
          </w:p>
          <w:p>
            <w:pPr>
              <w:pStyle w:val="895"/>
              <w:jc w:val="left"/>
              <w:widowControl/>
              <w:rPr>
                <w:rFonts w:ascii="宋体" w:hAnsi="宋体" w:cs="宋体"/>
                <w:sz w:val="24"/>
                <w:szCs w:val="21"/>
              </w:rPr>
            </w:pPr>
            <w:r>
              <w:rPr>
                <w:rFonts w:hint="eastAsia" w:ascii="宋体" w:hAnsi="宋体" w:cs="宋体"/>
                <w:sz w:val="24"/>
                <w:szCs w:val="21"/>
              </w:rPr>
              <w:t xml:space="preserve">1）接收调度指令；</w:t>
            </w:r>
            <w:r>
              <w:rPr>
                <w:rFonts w:ascii="宋体" w:hAnsi="宋体" w:cs="宋体"/>
                <w:sz w:val="24"/>
                <w:szCs w:val="21"/>
              </w:rPr>
            </w:r>
            <w:r/>
          </w:p>
          <w:p>
            <w:pPr>
              <w:pStyle w:val="895"/>
              <w:jc w:val="left"/>
              <w:widowControl/>
              <w:rPr>
                <w:rFonts w:ascii="宋体" w:hAnsi="宋体" w:cs="宋体"/>
                <w:sz w:val="24"/>
                <w:szCs w:val="21"/>
              </w:rPr>
            </w:pPr>
            <w:r>
              <w:rPr>
                <w:rFonts w:hint="eastAsia" w:ascii="宋体" w:hAnsi="宋体" w:cs="宋体"/>
                <w:sz w:val="24"/>
                <w:szCs w:val="21"/>
              </w:rPr>
              <w:t xml:space="preserve">2）接收公告信息；</w:t>
            </w:r>
            <w:r>
              <w:rPr>
                <w:rFonts w:ascii="宋体" w:hAnsi="宋体" w:cs="宋体"/>
                <w:sz w:val="24"/>
                <w:szCs w:val="21"/>
              </w:rPr>
            </w:r>
            <w:r/>
          </w:p>
          <w:p>
            <w:pPr>
              <w:pStyle w:val="895"/>
              <w:jc w:val="left"/>
              <w:widowControl/>
              <w:rPr>
                <w:rFonts w:ascii="宋体" w:hAnsi="宋体" w:cs="宋体"/>
                <w:sz w:val="24"/>
                <w:szCs w:val="21"/>
              </w:rPr>
            </w:pPr>
            <w:r>
              <w:rPr>
                <w:rFonts w:hint="eastAsia" w:ascii="宋体" w:hAnsi="宋体" w:cs="宋体"/>
                <w:sz w:val="24"/>
                <w:szCs w:val="21"/>
              </w:rPr>
              <w:t xml:space="preserve">3）出车节点反馈；</w:t>
            </w:r>
            <w:r>
              <w:rPr>
                <w:rFonts w:ascii="宋体" w:hAnsi="宋体" w:cs="宋体"/>
                <w:sz w:val="24"/>
                <w:szCs w:val="21"/>
              </w:rPr>
            </w:r>
            <w:r/>
          </w:p>
          <w:p>
            <w:pPr>
              <w:pStyle w:val="895"/>
              <w:jc w:val="left"/>
              <w:widowControl/>
              <w:rPr>
                <w:rFonts w:ascii="宋体" w:hAnsi="宋体" w:cs="宋体"/>
                <w:sz w:val="24"/>
                <w:szCs w:val="21"/>
              </w:rPr>
            </w:pPr>
            <w:r>
              <w:rPr>
                <w:rFonts w:hint="eastAsia" w:ascii="宋体" w:hAnsi="宋体" w:cs="宋体"/>
                <w:sz w:val="24"/>
                <w:szCs w:val="21"/>
              </w:rPr>
              <w:t xml:space="preserve">4）重大突发事件上报；</w:t>
            </w:r>
            <w:r>
              <w:rPr>
                <w:rFonts w:ascii="宋体" w:hAnsi="宋体" w:cs="宋体"/>
                <w:sz w:val="24"/>
                <w:szCs w:val="21"/>
              </w:rPr>
            </w:r>
            <w:r/>
          </w:p>
          <w:p>
            <w:pPr>
              <w:pStyle w:val="895"/>
              <w:jc w:val="left"/>
              <w:widowControl/>
              <w:rPr>
                <w:rFonts w:ascii="宋体"/>
                <w:sz w:val="24"/>
              </w:rPr>
            </w:pPr>
            <w:r>
              <w:rPr>
                <w:rFonts w:hint="eastAsia" w:ascii="宋体" w:hAnsi="宋体" w:cs="宋体"/>
                <w:sz w:val="24"/>
                <w:szCs w:val="21"/>
              </w:rPr>
              <w:t xml:space="preserve">5）位置监控；</w:t>
            </w:r>
            <w:r>
              <w:rPr>
                <w:rFonts w:ascii="宋体"/>
                <w:sz w:val="24"/>
              </w:rPr>
            </w:r>
            <w:r/>
          </w:p>
          <w:p>
            <w:pPr>
              <w:pStyle w:val="895"/>
              <w:jc w:val="left"/>
              <w:widowControl/>
              <w:rPr>
                <w:rFonts w:ascii="宋体" w:hAnsi="宋体" w:cs="宋体"/>
                <w:sz w:val="24"/>
                <w:szCs w:val="21"/>
              </w:rPr>
            </w:pPr>
            <w:r>
              <w:rPr>
                <w:rFonts w:hint="eastAsia" w:ascii="宋体" w:hAnsi="宋体" w:cs="宋体"/>
                <w:sz w:val="24"/>
                <w:szCs w:val="21"/>
              </w:rPr>
              <w:t xml:space="preserve">6）短信收发；</w:t>
            </w:r>
            <w:r>
              <w:rPr>
                <w:rFonts w:ascii="宋体" w:hAnsi="宋体" w:cs="宋体"/>
                <w:sz w:val="24"/>
                <w:szCs w:val="21"/>
              </w:rPr>
            </w:r>
            <w:r/>
          </w:p>
          <w:p>
            <w:pPr>
              <w:pStyle w:val="895"/>
              <w:jc w:val="left"/>
              <w:widowControl/>
              <w:rPr>
                <w:rFonts w:ascii="宋体" w:hAnsi="宋体" w:cs="宋体"/>
                <w:sz w:val="24"/>
                <w:szCs w:val="21"/>
              </w:rPr>
            </w:pPr>
            <w:r>
              <w:rPr>
                <w:rFonts w:hint="eastAsia" w:ascii="宋体" w:hAnsi="宋体" w:cs="宋体"/>
                <w:sz w:val="24"/>
                <w:szCs w:val="21"/>
              </w:rPr>
              <w:t xml:space="preserve">7）语音导航；</w:t>
            </w:r>
            <w:r>
              <w:rPr>
                <w:rFonts w:ascii="宋体" w:hAnsi="宋体" w:cs="宋体"/>
                <w:sz w:val="24"/>
                <w:szCs w:val="21"/>
              </w:rPr>
            </w:r>
            <w:r/>
          </w:p>
          <w:p>
            <w:pPr>
              <w:pStyle w:val="895"/>
              <w:jc w:val="left"/>
              <w:widowControl/>
              <w:rPr>
                <w:rFonts w:ascii="宋体" w:hAnsi="宋体" w:cs="宋体"/>
                <w:sz w:val="24"/>
                <w:szCs w:val="21"/>
              </w:rPr>
            </w:pPr>
            <w:r>
              <w:rPr>
                <w:rFonts w:hint="eastAsia" w:ascii="宋体" w:hAnsi="宋体" w:cs="宋体"/>
                <w:sz w:val="24"/>
                <w:szCs w:val="21"/>
              </w:rPr>
              <w:t xml:space="preserve">8）语音通话；</w:t>
            </w:r>
            <w:r>
              <w:rPr>
                <w:rFonts w:ascii="宋体" w:hAnsi="宋体" w:cs="宋体"/>
                <w:sz w:val="24"/>
                <w:szCs w:val="21"/>
              </w:rPr>
            </w:r>
            <w:r/>
          </w:p>
          <w:p>
            <w:pPr>
              <w:pStyle w:val="895"/>
              <w:jc w:val="left"/>
              <w:widowControl/>
              <w:rPr>
                <w:rFonts w:hint="eastAsia" w:ascii="宋体" w:hAnsi="宋体" w:cs="宋体"/>
                <w:sz w:val="24"/>
                <w:szCs w:val="21"/>
              </w:rPr>
            </w:pPr>
            <w:r>
              <w:rPr>
                <w:rFonts w:hint="eastAsia" w:ascii="宋体" w:hAnsi="宋体" w:cs="宋体"/>
                <w:sz w:val="24"/>
                <w:szCs w:val="21"/>
              </w:rPr>
              <w:t xml:space="preserve">9）语音播报。</w:t>
            </w:r>
            <w:r>
              <w:rPr>
                <w:rFonts w:hint="eastAsia" w:ascii="宋体" w:hAnsi="宋体" w:cs="宋体"/>
                <w:sz w:val="24"/>
                <w:szCs w:val="21"/>
              </w:rPr>
            </w:r>
            <w:r/>
          </w:p>
          <w:p>
            <w:pPr>
              <w:pStyle w:val="895"/>
              <w:jc w:val="left"/>
              <w:widowControl/>
              <w:rPr>
                <w:rFonts w:hint="eastAsia" w:ascii="宋体" w:hAnsi="宋体" w:cs="宋体"/>
                <w:sz w:val="24"/>
                <w:szCs w:val="21"/>
              </w:rPr>
            </w:pPr>
            <w:r>
              <w:rPr>
                <w:rFonts w:hint="eastAsia" w:ascii="宋体" w:hAnsi="宋体" w:cs="宋体"/>
                <w:sz w:val="24"/>
                <w:szCs w:val="21"/>
              </w:rPr>
            </w:r>
            <w:r/>
          </w:p>
          <w:p>
            <w:pPr>
              <w:pStyle w:val="895"/>
              <w:jc w:val="left"/>
              <w:widowControl/>
              <w:rPr>
                <w:rFonts w:ascii="宋体" w:hAnsi="宋体" w:cs="宋体"/>
                <w:sz w:val="24"/>
                <w:szCs w:val="21"/>
              </w:rPr>
            </w:pPr>
            <w:r>
              <w:rPr>
                <w:rFonts w:ascii="宋体" w:hAnsi="宋体" w:cs="宋体"/>
                <w:sz w:val="24"/>
                <w:szCs w:val="21"/>
              </w:rPr>
            </w:r>
            <w:r/>
          </w:p>
        </w:tc>
      </w:tr>
      <w:tr>
        <w:trPr/>
        <w:tc>
          <w:tcPr>
            <w:tcW w:w="966" w:type="dxa"/>
            <w:vAlign w:val="center"/>
            <w:textDirection w:val="lrTb"/>
            <w:noWrap w:val="false"/>
          </w:tcPr>
          <w:p>
            <w:pPr>
              <w:pStyle w:val="895"/>
              <w:jc w:val="center"/>
              <w:widowControl/>
              <w:rPr>
                <w:rFonts w:hint="eastAsia" w:ascii="宋体" w:hAnsi="宋体" w:cs="宋体"/>
                <w:b/>
                <w:bCs/>
                <w:sz w:val="24"/>
                <w:szCs w:val="21"/>
              </w:rPr>
            </w:pPr>
            <w:r>
              <w:rPr>
                <w:rFonts w:hint="eastAsia" w:ascii="宋体" w:hAnsi="宋体" w:cs="宋体"/>
                <w:b/>
                <w:bCs/>
                <w:sz w:val="24"/>
                <w:szCs w:val="21"/>
              </w:rPr>
              <w:t xml:space="preserve">二十三</w:t>
            </w:r>
            <w:r>
              <w:rPr>
                <w:rFonts w:hint="eastAsia" w:ascii="宋体" w:hAnsi="宋体" w:cs="宋体"/>
                <w:b/>
                <w:bCs/>
                <w:sz w:val="24"/>
                <w:szCs w:val="21"/>
              </w:rPr>
            </w:r>
            <w:r/>
          </w:p>
        </w:tc>
        <w:tc>
          <w:tcPr>
            <w:tcW w:w="1138" w:type="dxa"/>
            <w:vAlign w:val="center"/>
            <w:textDirection w:val="lrTb"/>
            <w:noWrap w:val="false"/>
          </w:tcPr>
          <w:p>
            <w:pPr>
              <w:pStyle w:val="895"/>
              <w:jc w:val="center"/>
              <w:widowControl/>
              <w:rPr>
                <w:rFonts w:hint="eastAsia" w:ascii="宋体" w:hAnsi="宋体" w:cs="宋体"/>
                <w:b/>
                <w:bCs/>
                <w:sz w:val="24"/>
                <w:szCs w:val="21"/>
              </w:rPr>
            </w:pPr>
            <w:r>
              <w:rPr>
                <w:rFonts w:hint="eastAsia" w:ascii="宋体" w:hAnsi="宋体" w:cs="宋体"/>
                <w:b/>
                <w:bCs/>
                <w:sz w:val="24"/>
                <w:szCs w:val="21"/>
              </w:rPr>
              <w:t xml:space="preserve">车载硬盘录像机</w:t>
            </w:r>
            <w:r>
              <w:rPr>
                <w:rFonts w:hint="eastAsia" w:ascii="宋体" w:hAnsi="宋体" w:cs="宋体"/>
                <w:b/>
                <w:bCs/>
                <w:sz w:val="24"/>
                <w:szCs w:val="21"/>
              </w:rPr>
            </w:r>
            <w:r/>
          </w:p>
        </w:tc>
        <w:tc>
          <w:tcPr>
            <w:tcW w:w="891" w:type="dxa"/>
            <w:vAlign w:val="center"/>
            <w:textDirection w:val="lrTb"/>
            <w:noWrap w:val="false"/>
          </w:tcPr>
          <w:p>
            <w:pPr>
              <w:pStyle w:val="895"/>
              <w:jc w:val="center"/>
              <w:widowControl/>
              <w:rPr>
                <w:rFonts w:hint="eastAsia" w:ascii="宋体" w:hAnsi="宋体" w:cs="宋体"/>
                <w:sz w:val="24"/>
                <w:szCs w:val="21"/>
              </w:rPr>
            </w:pPr>
            <w:r>
              <w:rPr>
                <w:rFonts w:hint="eastAsia" w:ascii="宋体" w:hAnsi="宋体" w:cs="宋体"/>
                <w:sz w:val="24"/>
                <w:szCs w:val="21"/>
              </w:rPr>
              <w:t xml:space="preserve">每车配备一套，共2套</w:t>
            </w:r>
            <w:r>
              <w:rPr>
                <w:rFonts w:hint="eastAsia" w:ascii="宋体" w:hAnsi="宋体" w:cs="宋体"/>
                <w:sz w:val="24"/>
                <w:szCs w:val="21"/>
              </w:rPr>
            </w:r>
            <w:r/>
          </w:p>
        </w:tc>
        <w:tc>
          <w:tcPr>
            <w:tcW w:w="5713" w:type="dxa"/>
            <w:vAlign w:val="center"/>
            <w:textDirection w:val="lrTb"/>
            <w:noWrap w:val="false"/>
          </w:tcPr>
          <w:p>
            <w:pPr>
              <w:pStyle w:val="895"/>
              <w:jc w:val="left"/>
              <w:widowControl/>
              <w:rPr>
                <w:rFonts w:ascii="宋体" w:hAnsi="宋体" w:cs="宋体"/>
                <w:sz w:val="24"/>
                <w:szCs w:val="20"/>
              </w:rPr>
            </w:pPr>
            <w:r>
              <w:rPr>
                <w:rFonts w:hint="eastAsia" w:ascii="宋体" w:hAnsi="宋体" w:cs="宋体"/>
                <w:sz w:val="24"/>
                <w:szCs w:val="20"/>
              </w:rPr>
              <w:t xml:space="preserve">1、编码流：支持4路HDTVI相机接入，支持720P编码。通过PoE交换机可扩展4路IPC接入，IPC可支持1080P编码。使用标准H.264码流,支持smart264功能，支持双码流；具备1路CVBS视音频输出；</w:t>
            </w:r>
            <w:r>
              <w:rPr>
                <w:rFonts w:ascii="宋体" w:hAnsi="宋体" w:cs="宋体"/>
                <w:sz w:val="24"/>
                <w:szCs w:val="20"/>
              </w:rPr>
            </w:r>
            <w:r/>
          </w:p>
          <w:p>
            <w:pPr>
              <w:pStyle w:val="895"/>
              <w:numPr>
                <w:ilvl w:val="0"/>
                <w:numId w:val="16"/>
              </w:numPr>
              <w:jc w:val="left"/>
              <w:widowControl/>
              <w:rPr>
                <w:rFonts w:ascii="宋体" w:hAnsi="宋体" w:cs="宋体"/>
                <w:sz w:val="24"/>
                <w:szCs w:val="20"/>
              </w:rPr>
            </w:pPr>
            <w:r>
              <w:rPr>
                <w:rFonts w:hint="eastAsia" w:ascii="宋体" w:hAnsi="宋体" w:cs="宋体"/>
                <w:sz w:val="24"/>
                <w:szCs w:val="20"/>
              </w:rPr>
              <w:t xml:space="preserve">视频输出：具备1路VGA视频输出接口，最高分辨率可达1920*1080；</w:t>
            </w:r>
            <w:r>
              <w:rPr>
                <w:rFonts w:ascii="宋体" w:hAnsi="宋体" w:cs="宋体"/>
                <w:sz w:val="24"/>
                <w:szCs w:val="20"/>
              </w:rPr>
            </w:r>
            <w:r/>
          </w:p>
          <w:p>
            <w:pPr>
              <w:pStyle w:val="895"/>
              <w:numPr>
                <w:ilvl w:val="0"/>
                <w:numId w:val="16"/>
              </w:numPr>
              <w:jc w:val="left"/>
              <w:widowControl/>
              <w:rPr>
                <w:rFonts w:ascii="宋体" w:hAnsi="宋体" w:cs="宋体"/>
                <w:sz w:val="24"/>
                <w:szCs w:val="20"/>
              </w:rPr>
            </w:pPr>
            <w:r>
              <w:rPr>
                <w:rFonts w:hint="eastAsia" w:ascii="宋体" w:hAnsi="宋体" w:cs="宋体"/>
                <w:sz w:val="24"/>
                <w:szCs w:val="20"/>
              </w:rPr>
              <w:t xml:space="preserve">管理界面：</w:t>
            </w:r>
            <w:r>
              <w:rPr>
                <w:rFonts w:ascii="宋体" w:hAnsi="宋体" w:cs="宋体"/>
                <w:sz w:val="24"/>
                <w:szCs w:val="20"/>
              </w:rPr>
              <w:t xml:space="preserve">全新车载专用GUI界面，具备良好的用户体验性，并支持WEB登录，操作简单便捷；</w:t>
            </w:r>
            <w:r>
              <w:rPr>
                <w:rFonts w:ascii="宋体" w:hAnsi="宋体" w:cs="宋体"/>
                <w:sz w:val="24"/>
                <w:szCs w:val="20"/>
              </w:rPr>
            </w:r>
            <w:r/>
          </w:p>
          <w:p>
            <w:pPr>
              <w:pStyle w:val="986"/>
              <w:numPr>
                <w:ilvl w:val="0"/>
                <w:numId w:val="16"/>
              </w:numPr>
              <w:spacing w:before="0" w:beforeAutospacing="0" w:after="0" w:afterAutospacing="0"/>
              <w:shd w:val="clear" w:color="auto" w:fill="ffffff"/>
              <w:rPr>
                <w:szCs w:val="20"/>
              </w:rPr>
            </w:pPr>
            <w:r>
              <w:rPr>
                <w:rFonts w:hint="eastAsia"/>
                <w:szCs w:val="20"/>
              </w:rPr>
              <w:t xml:space="preserve">硬盘：支持接入2块2.5英寸HDD/SSD硬盘，接入方式为可插拔式，并具有硬盘减振技术；</w:t>
            </w:r>
            <w:r>
              <w:rPr>
                <w:szCs w:val="20"/>
              </w:rPr>
            </w:r>
            <w:r/>
          </w:p>
          <w:p>
            <w:pPr>
              <w:pStyle w:val="986"/>
              <w:numPr>
                <w:ilvl w:val="0"/>
                <w:numId w:val="16"/>
              </w:numPr>
              <w:spacing w:before="0" w:beforeAutospacing="0" w:after="0" w:afterAutospacing="0"/>
              <w:shd w:val="clear" w:color="auto" w:fill="ffffff"/>
              <w:rPr>
                <w:szCs w:val="20"/>
              </w:rPr>
            </w:pPr>
            <w:r>
              <w:rPr>
                <w:rFonts w:hint="eastAsia"/>
                <w:szCs w:val="20"/>
              </w:rPr>
              <w:t xml:space="preserve">温控：</w:t>
            </w:r>
            <w:r>
              <w:rPr>
                <w:szCs w:val="20"/>
              </w:rPr>
              <w:t xml:space="preserve">硬盘盒自带智能温控系统，并具备USB数据导出接口；</w:t>
            </w:r>
            <w:r>
              <w:rPr>
                <w:szCs w:val="20"/>
              </w:rPr>
            </w:r>
            <w:r/>
          </w:p>
          <w:p>
            <w:pPr>
              <w:pStyle w:val="986"/>
              <w:numPr>
                <w:ilvl w:val="0"/>
                <w:numId w:val="16"/>
              </w:numPr>
              <w:spacing w:before="0" w:beforeAutospacing="0" w:after="0" w:afterAutospacing="0"/>
              <w:shd w:val="clear" w:color="auto" w:fill="ffffff"/>
              <w:rPr>
                <w:szCs w:val="20"/>
              </w:rPr>
            </w:pPr>
            <w:r>
              <w:rPr>
                <w:rFonts w:hint="eastAsia"/>
                <w:szCs w:val="20"/>
              </w:rPr>
              <w:t xml:space="preserve">断电保护：</w:t>
            </w:r>
            <w:r>
              <w:rPr>
                <w:szCs w:val="20"/>
              </w:rPr>
              <w:t xml:space="preserve">硬件设计上具备断电保护功能，设备在突然断电情况下可以自动启用超级电容，实现正常关机，有效避免关键数据丢 失，延长硬盘寿命；</w:t>
            </w:r>
            <w:r>
              <w:rPr>
                <w:szCs w:val="20"/>
              </w:rPr>
            </w:r>
            <w:r/>
          </w:p>
          <w:p>
            <w:pPr>
              <w:pStyle w:val="986"/>
              <w:numPr>
                <w:ilvl w:val="0"/>
                <w:numId w:val="16"/>
              </w:numPr>
              <w:spacing w:before="0" w:beforeAutospacing="0" w:after="0" w:afterAutospacing="0"/>
              <w:shd w:val="clear" w:color="auto" w:fill="ffffff"/>
              <w:rPr>
                <w:szCs w:val="20"/>
              </w:rPr>
            </w:pPr>
            <w:r>
              <w:rPr>
                <w:rFonts w:hint="eastAsia"/>
                <w:szCs w:val="20"/>
              </w:rPr>
              <w:t xml:space="preserve">数据传输：</w:t>
            </w:r>
            <w:r>
              <w:rPr>
                <w:szCs w:val="20"/>
              </w:rPr>
              <w:t xml:space="preserve">内置4G无线模块、WIFI模块，提供灵活的无线传输方案。通讯模块可插拔，方便网络模块升级；</w:t>
            </w:r>
            <w:r>
              <w:rPr>
                <w:szCs w:val="20"/>
              </w:rPr>
            </w:r>
            <w:r/>
          </w:p>
          <w:p>
            <w:pPr>
              <w:pStyle w:val="986"/>
              <w:numPr>
                <w:ilvl w:val="0"/>
                <w:numId w:val="16"/>
              </w:numPr>
              <w:spacing w:before="0" w:beforeAutospacing="0" w:after="0" w:afterAutospacing="0"/>
              <w:shd w:val="clear" w:color="auto" w:fill="ffffff"/>
              <w:rPr>
                <w:szCs w:val="20"/>
              </w:rPr>
            </w:pPr>
            <w:r>
              <w:rPr>
                <w:rFonts w:hint="eastAsia"/>
                <w:szCs w:val="20"/>
              </w:rPr>
              <w:t xml:space="preserve">定位：内置高灵敏度卫星定位模块，支持</w:t>
            </w:r>
            <w:r>
              <w:rPr>
                <w:szCs w:val="20"/>
              </w:rPr>
              <w:t xml:space="preserve">GPS/</w:t>
            </w:r>
            <w:r>
              <w:rPr>
                <w:rFonts w:hint="eastAsia"/>
                <w:szCs w:val="20"/>
              </w:rPr>
              <w:t xml:space="preserve">北斗</w:t>
            </w:r>
            <w:r>
              <w:rPr>
                <w:szCs w:val="20"/>
              </w:rPr>
              <w:t xml:space="preserve">/GLONASS</w:t>
            </w:r>
            <w:r>
              <w:rPr>
                <w:rFonts w:hint="eastAsia"/>
                <w:szCs w:val="20"/>
              </w:rPr>
              <w:t xml:space="preserve">定位，定位信息同步封装入录像码流中；</w:t>
            </w:r>
            <w:r>
              <w:rPr>
                <w:szCs w:val="20"/>
              </w:rPr>
            </w:r>
            <w:r/>
          </w:p>
          <w:p>
            <w:pPr>
              <w:pStyle w:val="986"/>
              <w:numPr>
                <w:ilvl w:val="0"/>
                <w:numId w:val="16"/>
              </w:numPr>
              <w:spacing w:before="0" w:beforeAutospacing="0" w:after="0" w:afterAutospacing="0"/>
              <w:shd w:val="clear" w:color="auto" w:fill="ffffff"/>
              <w:rPr>
                <w:szCs w:val="20"/>
              </w:rPr>
            </w:pPr>
            <w:r>
              <w:rPr>
                <w:rFonts w:hint="eastAsia"/>
                <w:szCs w:val="20"/>
              </w:rPr>
              <w:t xml:space="preserve">插头：</w:t>
            </w:r>
            <w:r>
              <w:rPr>
                <w:szCs w:val="20"/>
              </w:rPr>
              <w:t xml:space="preserve">主要接口均采用车载专用的航空插头，确保信号连接稳定；</w:t>
            </w:r>
            <w:r>
              <w:rPr>
                <w:szCs w:val="20"/>
              </w:rPr>
            </w:r>
            <w:r/>
          </w:p>
          <w:p>
            <w:pPr>
              <w:pStyle w:val="986"/>
              <w:numPr>
                <w:ilvl w:val="0"/>
                <w:numId w:val="16"/>
              </w:numPr>
              <w:spacing w:before="0" w:beforeAutospacing="0" w:after="0" w:afterAutospacing="0"/>
              <w:shd w:val="clear" w:color="auto" w:fill="ffffff"/>
              <w:rPr>
                <w:szCs w:val="20"/>
              </w:rPr>
            </w:pPr>
            <w:r>
              <w:rPr>
                <w:rFonts w:hint="eastAsia"/>
                <w:szCs w:val="20"/>
              </w:rPr>
              <w:t xml:space="preserve">延时开关机：</w:t>
            </w:r>
            <w:r>
              <w:rPr>
                <w:szCs w:val="20"/>
              </w:rPr>
              <w:t xml:space="preserve">具备延时关机（0分钟~6小时）和24小时定时开关机功能；</w:t>
            </w:r>
            <w:r>
              <w:rPr>
                <w:szCs w:val="20"/>
              </w:rPr>
            </w:r>
            <w:r/>
          </w:p>
          <w:p>
            <w:pPr>
              <w:pStyle w:val="986"/>
              <w:numPr>
                <w:ilvl w:val="0"/>
                <w:numId w:val="16"/>
              </w:numPr>
              <w:spacing w:before="0" w:beforeAutospacing="0" w:after="0" w:afterAutospacing="0"/>
              <w:shd w:val="clear" w:color="auto" w:fill="ffffff"/>
              <w:rPr>
                <w:szCs w:val="20"/>
              </w:rPr>
            </w:pPr>
            <w:r>
              <w:rPr>
                <w:rFonts w:hint="eastAsia"/>
                <w:szCs w:val="20"/>
              </w:rPr>
              <w:t xml:space="preserve">电源：</w:t>
            </w:r>
            <w:r>
              <w:rPr>
                <w:szCs w:val="20"/>
              </w:rPr>
              <w:t xml:space="preserve">宽幅电源输入（DC+8 ~ +36V），满足汽车电气特性要求；</w:t>
            </w:r>
            <w:r>
              <w:rPr>
                <w:szCs w:val="20"/>
              </w:rPr>
            </w:r>
            <w:r/>
          </w:p>
          <w:p>
            <w:pPr>
              <w:pStyle w:val="986"/>
              <w:numPr>
                <w:ilvl w:val="0"/>
                <w:numId w:val="16"/>
              </w:numPr>
              <w:spacing w:before="0" w:beforeAutospacing="0" w:after="0" w:afterAutospacing="0"/>
              <w:shd w:val="clear" w:color="auto" w:fill="ffffff"/>
              <w:rPr>
                <w:szCs w:val="20"/>
              </w:rPr>
            </w:pPr>
            <w:r>
              <w:rPr>
                <w:rFonts w:hint="eastAsia"/>
                <w:szCs w:val="20"/>
              </w:rPr>
              <w:t xml:space="preserve">机箱：</w:t>
            </w:r>
            <w:r>
              <w:rPr>
                <w:szCs w:val="20"/>
              </w:rPr>
              <w:t xml:space="preserve">铝制机箱，具备良好的车载工作环境适应性；</w:t>
            </w:r>
            <w:r>
              <w:rPr>
                <w:szCs w:val="20"/>
              </w:rPr>
            </w:r>
            <w:r/>
          </w:p>
          <w:p>
            <w:pPr>
              <w:pStyle w:val="986"/>
              <w:numPr>
                <w:ilvl w:val="0"/>
                <w:numId w:val="16"/>
              </w:numPr>
              <w:spacing w:before="0" w:beforeAutospacing="0" w:after="0" w:afterAutospacing="0"/>
              <w:shd w:val="clear" w:color="auto" w:fill="ffffff"/>
              <w:rPr>
                <w:szCs w:val="20"/>
              </w:rPr>
            </w:pPr>
            <w:r>
              <w:rPr>
                <w:rFonts w:hint="eastAsia"/>
                <w:szCs w:val="20"/>
              </w:rPr>
              <w:t xml:space="preserve">倒车影像：</w:t>
            </w:r>
            <w:r>
              <w:rPr>
                <w:szCs w:val="20"/>
              </w:rPr>
              <w:t xml:space="preserve">支持倒车摄像头左右镜像；</w:t>
            </w:r>
            <w:r>
              <w:rPr>
                <w:szCs w:val="20"/>
              </w:rPr>
            </w:r>
            <w:r/>
          </w:p>
          <w:p>
            <w:pPr>
              <w:pStyle w:val="895"/>
              <w:numPr>
                <w:ilvl w:val="0"/>
                <w:numId w:val="16"/>
              </w:numPr>
              <w:jc w:val="left"/>
              <w:widowControl/>
              <w:rPr>
                <w:rFonts w:hint="eastAsia" w:ascii="宋体" w:hAnsi="宋体" w:cs="宋体"/>
                <w:sz w:val="24"/>
                <w:szCs w:val="21"/>
              </w:rPr>
            </w:pPr>
            <w:r>
              <w:rPr>
                <w:rFonts w:hint="eastAsia" w:ascii="宋体" w:hAnsi="宋体" w:cs="宋体"/>
                <w:sz w:val="24"/>
                <w:szCs w:val="20"/>
              </w:rPr>
              <w:t xml:space="preserve">协议：支持Ehome协议对接平台，实现远程预览、回放、配置等功能。</w:t>
            </w:r>
            <w:r>
              <w:rPr>
                <w:rFonts w:hint="eastAsia" w:ascii="宋体" w:hAnsi="宋体" w:cs="宋体"/>
                <w:sz w:val="24"/>
                <w:szCs w:val="21"/>
              </w:rPr>
            </w:r>
            <w:r/>
          </w:p>
        </w:tc>
      </w:tr>
      <w:tr>
        <w:trPr/>
        <w:tc>
          <w:tcPr>
            <w:tcW w:w="966" w:type="dxa"/>
            <w:vAlign w:val="center"/>
            <w:textDirection w:val="lrTb"/>
            <w:noWrap w:val="false"/>
          </w:tcPr>
          <w:p>
            <w:pPr>
              <w:pStyle w:val="895"/>
              <w:jc w:val="center"/>
              <w:widowControl/>
              <w:rPr>
                <w:rFonts w:hint="eastAsia" w:ascii="宋体" w:hAnsi="宋体" w:cs="宋体"/>
                <w:b/>
                <w:bCs/>
                <w:sz w:val="24"/>
                <w:szCs w:val="21"/>
              </w:rPr>
            </w:pPr>
            <w:r>
              <w:rPr>
                <w:rFonts w:hint="eastAsia" w:ascii="宋体" w:hAnsi="宋体" w:cs="宋体"/>
                <w:b/>
                <w:bCs/>
                <w:sz w:val="24"/>
                <w:szCs w:val="21"/>
              </w:rPr>
              <w:t xml:space="preserve">二十四</w:t>
            </w:r>
            <w:r>
              <w:rPr>
                <w:rFonts w:hint="eastAsia" w:ascii="宋体" w:hAnsi="宋体" w:cs="宋体"/>
                <w:b/>
                <w:bCs/>
                <w:sz w:val="24"/>
                <w:szCs w:val="21"/>
              </w:rPr>
            </w:r>
            <w:r/>
          </w:p>
        </w:tc>
        <w:tc>
          <w:tcPr>
            <w:tcW w:w="1138" w:type="dxa"/>
            <w:vAlign w:val="center"/>
            <w:textDirection w:val="lrTb"/>
            <w:noWrap w:val="false"/>
          </w:tcPr>
          <w:p>
            <w:pPr>
              <w:pStyle w:val="895"/>
              <w:jc w:val="center"/>
              <w:widowControl/>
              <w:rPr>
                <w:rFonts w:hint="eastAsia" w:ascii="宋体" w:hAnsi="宋体" w:cs="宋体"/>
                <w:b/>
                <w:bCs/>
                <w:sz w:val="24"/>
                <w:szCs w:val="21"/>
              </w:rPr>
            </w:pPr>
            <w:r>
              <w:rPr>
                <w:rFonts w:hint="eastAsia" w:ascii="宋体" w:hAnsi="宋体" w:cs="宋体"/>
                <w:b/>
                <w:bCs/>
                <w:sz w:val="24"/>
                <w:szCs w:val="21"/>
              </w:rPr>
              <w:t xml:space="preserve">车载摄像机</w:t>
            </w:r>
            <w:r>
              <w:rPr>
                <w:rFonts w:hint="eastAsia" w:ascii="宋体" w:hAnsi="宋体" w:cs="宋体"/>
                <w:b/>
                <w:bCs/>
                <w:sz w:val="24"/>
                <w:szCs w:val="21"/>
              </w:rPr>
            </w:r>
            <w:r/>
          </w:p>
        </w:tc>
        <w:tc>
          <w:tcPr>
            <w:tcW w:w="891" w:type="dxa"/>
            <w:vAlign w:val="center"/>
            <w:textDirection w:val="lrTb"/>
            <w:noWrap w:val="false"/>
          </w:tcPr>
          <w:p>
            <w:pPr>
              <w:pStyle w:val="986"/>
              <w:jc w:val="center"/>
              <w:spacing w:before="0" w:beforeAutospacing="0" w:after="0" w:afterAutospacing="0"/>
              <w:shd w:val="clear" w:color="auto" w:fill="ffffff"/>
              <w:rPr>
                <w:szCs w:val="20"/>
              </w:rPr>
            </w:pPr>
            <w:r>
              <w:rPr>
                <w:rFonts w:hint="eastAsia"/>
                <w:szCs w:val="20"/>
              </w:rPr>
              <w:t xml:space="preserve">每车配备4个，共8个</w:t>
            </w:r>
            <w:r>
              <w:rPr>
                <w:szCs w:val="20"/>
              </w:rPr>
            </w:r>
            <w:r/>
          </w:p>
        </w:tc>
        <w:tc>
          <w:tcPr>
            <w:tcW w:w="5713" w:type="dxa"/>
            <w:vAlign w:val="center"/>
            <w:textDirection w:val="lrTb"/>
            <w:noWrap w:val="false"/>
          </w:tcPr>
          <w:p>
            <w:pPr>
              <w:pStyle w:val="986"/>
              <w:numPr>
                <w:ilvl w:val="0"/>
                <w:numId w:val="17"/>
              </w:numPr>
              <w:spacing w:before="0" w:beforeAutospacing="0" w:after="0" w:afterAutospacing="0"/>
              <w:shd w:val="clear" w:color="auto" w:fill="ffffff"/>
              <w:rPr>
                <w:szCs w:val="20"/>
              </w:rPr>
            </w:pPr>
            <w:r>
              <w:rPr>
                <w:rFonts w:hint="eastAsia"/>
                <w:szCs w:val="20"/>
              </w:rPr>
              <w:t xml:space="preserve">分辨率：最高分辨率可达1920</w:t>
            </w:r>
            <w:r>
              <w:rPr>
                <w:szCs w:val="20"/>
              </w:rPr>
              <w:t xml:space="preserve">×</w:t>
            </w:r>
            <w:r>
              <w:rPr>
                <w:rFonts w:hint="eastAsia"/>
                <w:szCs w:val="20"/>
              </w:rPr>
              <w:t xml:space="preserve">1080</w:t>
            </w:r>
            <w:r>
              <w:rPr>
                <w:szCs w:val="20"/>
              </w:rPr>
              <w:t xml:space="preserve"> @ 30 fps,</w:t>
            </w:r>
            <w:r>
              <w:rPr>
                <w:rFonts w:hint="eastAsia"/>
                <w:szCs w:val="20"/>
              </w:rPr>
              <w:t xml:space="preserve">在该分辨率下可输出实时图像</w:t>
            </w:r>
            <w:r>
              <w:rPr>
                <w:szCs w:val="20"/>
              </w:rPr>
            </w:r>
            <w:r/>
          </w:p>
          <w:p>
            <w:pPr>
              <w:pStyle w:val="986"/>
              <w:numPr>
                <w:ilvl w:val="0"/>
                <w:numId w:val="17"/>
              </w:numPr>
              <w:spacing w:before="0" w:beforeAutospacing="0" w:after="0" w:afterAutospacing="0"/>
              <w:shd w:val="clear" w:color="auto" w:fill="ffffff"/>
              <w:rPr>
                <w:szCs w:val="20"/>
              </w:rPr>
            </w:pPr>
            <w:r>
              <w:rPr>
                <w:rFonts w:hint="eastAsia"/>
                <w:szCs w:val="20"/>
              </w:rPr>
              <w:t xml:space="preserve">压缩技术：采用</w:t>
            </w:r>
            <w:r>
              <w:rPr>
                <w:szCs w:val="20"/>
              </w:rPr>
              <w:t xml:space="preserve">ROI</w:t>
            </w:r>
            <w:r>
              <w:rPr>
                <w:rFonts w:hint="eastAsia"/>
                <w:szCs w:val="20"/>
              </w:rPr>
              <w:t xml:space="preserve">、</w:t>
            </w:r>
            <w:r>
              <w:rPr>
                <w:szCs w:val="20"/>
              </w:rPr>
              <w:t xml:space="preserve">SVC</w:t>
            </w:r>
            <w:r>
              <w:rPr>
                <w:rFonts w:hint="eastAsia"/>
                <w:szCs w:val="20"/>
              </w:rPr>
              <w:t xml:space="preserve">等视频压缩技术</w:t>
            </w:r>
            <w:r>
              <w:rPr>
                <w:szCs w:val="20"/>
              </w:rPr>
              <w:t xml:space="preserve">,</w:t>
            </w:r>
            <w:r>
              <w:rPr>
                <w:rFonts w:hint="eastAsia"/>
                <w:szCs w:val="20"/>
              </w:rPr>
              <w:t xml:space="preserve">压缩比高</w:t>
            </w:r>
            <w:r>
              <w:rPr>
                <w:szCs w:val="20"/>
              </w:rPr>
              <w:t xml:space="preserve">,</w:t>
            </w:r>
            <w:r>
              <w:rPr>
                <w:rFonts w:hint="eastAsia"/>
                <w:szCs w:val="20"/>
              </w:rPr>
              <w:t xml:space="preserve">且处理非常灵活</w:t>
            </w:r>
            <w:r>
              <w:rPr>
                <w:szCs w:val="20"/>
              </w:rPr>
              <w:t xml:space="preserve">,</w:t>
            </w:r>
            <w:r>
              <w:rPr>
                <w:rFonts w:hint="eastAsia"/>
                <w:szCs w:val="20"/>
              </w:rPr>
              <w:t xml:space="preserve">超低码率</w:t>
            </w:r>
            <w:r>
              <w:rPr>
                <w:szCs w:val="20"/>
              </w:rPr>
            </w:r>
            <w:r/>
          </w:p>
          <w:p>
            <w:pPr>
              <w:pStyle w:val="986"/>
              <w:spacing w:before="0" w:beforeAutospacing="0" w:after="0" w:afterAutospacing="0"/>
              <w:shd w:val="clear" w:color="auto" w:fill="ffffff"/>
              <w:rPr>
                <w:szCs w:val="20"/>
              </w:rPr>
            </w:pPr>
            <w:r>
              <w:rPr>
                <w:rFonts w:hint="eastAsia"/>
                <w:szCs w:val="20"/>
              </w:rPr>
              <w:t xml:space="preserve">3、码流：码流平滑设置,适应不同场景下对图像质量、流畅性的不同要求</w:t>
            </w:r>
            <w:r>
              <w:rPr>
                <w:szCs w:val="20"/>
              </w:rPr>
            </w:r>
            <w:r/>
          </w:p>
          <w:p>
            <w:pPr>
              <w:pStyle w:val="986"/>
              <w:numPr>
                <w:ilvl w:val="0"/>
                <w:numId w:val="17"/>
              </w:numPr>
              <w:spacing w:before="0" w:beforeAutospacing="0" w:after="0" w:afterAutospacing="0"/>
              <w:shd w:val="clear" w:color="auto" w:fill="ffffff"/>
              <w:rPr>
                <w:szCs w:val="20"/>
              </w:rPr>
            </w:pPr>
            <w:r>
              <w:rPr>
                <w:rFonts w:hint="eastAsia"/>
                <w:szCs w:val="20"/>
              </w:rPr>
              <w:t xml:space="preserve">日夜：支持日夜两套参数独立配置</w:t>
            </w:r>
            <w:r>
              <w:rPr>
                <w:szCs w:val="20"/>
              </w:rPr>
            </w:r>
            <w:r/>
          </w:p>
          <w:p>
            <w:pPr>
              <w:pStyle w:val="986"/>
              <w:numPr>
                <w:ilvl w:val="0"/>
                <w:numId w:val="17"/>
              </w:numPr>
              <w:spacing w:before="0" w:beforeAutospacing="0" w:after="0" w:afterAutospacing="0"/>
              <w:shd w:val="clear" w:color="auto" w:fill="ffffff"/>
              <w:rPr>
                <w:szCs w:val="20"/>
              </w:rPr>
            </w:pPr>
            <w:r>
              <w:rPr>
                <w:rFonts w:hint="eastAsia"/>
                <w:szCs w:val="20"/>
              </w:rPr>
              <w:t xml:space="preserve">供电：支持</w:t>
            </w:r>
            <w:r>
              <w:rPr>
                <w:szCs w:val="20"/>
              </w:rPr>
              <w:t xml:space="preserve">PoE</w:t>
            </w:r>
            <w:r>
              <w:rPr>
                <w:rFonts w:hint="eastAsia"/>
                <w:szCs w:val="20"/>
              </w:rPr>
              <w:t xml:space="preserve">供电功能</w:t>
            </w:r>
            <w:r>
              <w:rPr>
                <w:szCs w:val="20"/>
              </w:rPr>
            </w:r>
            <w:r/>
          </w:p>
          <w:p>
            <w:pPr>
              <w:pStyle w:val="986"/>
              <w:numPr>
                <w:ilvl w:val="0"/>
                <w:numId w:val="17"/>
              </w:numPr>
              <w:spacing w:before="0" w:beforeAutospacing="0" w:after="0" w:afterAutospacing="0"/>
              <w:shd w:val="clear" w:color="auto" w:fill="ffffff"/>
              <w:rPr>
                <w:szCs w:val="20"/>
              </w:rPr>
            </w:pPr>
            <w:r>
              <w:rPr>
                <w:szCs w:val="20"/>
              </w:rPr>
              <w:t xml:space="preserve">麦克风</w:t>
            </w:r>
            <w:r>
              <w:rPr>
                <w:rFonts w:hint="eastAsia"/>
                <w:szCs w:val="20"/>
              </w:rPr>
              <w:t xml:space="preserve">：</w:t>
            </w:r>
            <w:r>
              <w:rPr>
                <w:szCs w:val="20"/>
              </w:rPr>
              <w:t xml:space="preserve">造型小巧美观,</w:t>
            </w:r>
            <w:r>
              <w:rPr>
                <w:rFonts w:hint="eastAsia"/>
                <w:szCs w:val="20"/>
              </w:rPr>
              <w:t xml:space="preserve">内置</w:t>
            </w:r>
            <w:r>
              <w:rPr>
                <w:szCs w:val="20"/>
              </w:rPr>
              <w:t xml:space="preserve">麦克风</w:t>
            </w:r>
            <w:r>
              <w:rPr>
                <w:szCs w:val="20"/>
              </w:rPr>
            </w:r>
            <w:r/>
          </w:p>
          <w:p>
            <w:pPr>
              <w:pStyle w:val="986"/>
              <w:numPr>
                <w:ilvl w:val="0"/>
                <w:numId w:val="17"/>
              </w:numPr>
              <w:spacing w:before="0" w:beforeAutospacing="0" w:after="0" w:afterAutospacing="0"/>
              <w:shd w:val="clear" w:color="auto" w:fill="ffffff"/>
              <w:rPr>
                <w:szCs w:val="20"/>
              </w:rPr>
            </w:pPr>
            <w:r>
              <w:rPr>
                <w:szCs w:val="20"/>
              </w:rPr>
              <w:t xml:space="preserve">红外灯</w:t>
            </w:r>
            <w:r>
              <w:rPr>
                <w:rFonts w:hint="eastAsia"/>
                <w:szCs w:val="20"/>
              </w:rPr>
              <w:t xml:space="preserve">：</w:t>
            </w:r>
            <w:r>
              <w:rPr>
                <w:szCs w:val="20"/>
              </w:rPr>
              <w:t xml:space="preserve">高效红外灯</w:t>
            </w:r>
            <w:r>
              <w:rPr>
                <w:rFonts w:hint="eastAsia"/>
                <w:szCs w:val="20"/>
              </w:rPr>
              <w:t xml:space="preserve">,</w:t>
            </w:r>
            <w:r>
              <w:rPr>
                <w:szCs w:val="20"/>
              </w:rPr>
              <w:t xml:space="preserve">使用寿命长</w:t>
            </w:r>
            <w:r>
              <w:rPr>
                <w:rFonts w:hint="eastAsia"/>
                <w:szCs w:val="20"/>
              </w:rPr>
              <w:t xml:space="preserve">,</w:t>
            </w:r>
            <w:r>
              <w:rPr>
                <w:szCs w:val="20"/>
              </w:rPr>
              <w:t xml:space="preserve">照射距离可达</w:t>
            </w:r>
            <w:r>
              <w:rPr>
                <w:rFonts w:hint="eastAsia"/>
                <w:szCs w:val="20"/>
              </w:rPr>
              <w:t xml:space="preserve">1</w:t>
            </w:r>
            <w:r>
              <w:rPr>
                <w:szCs w:val="20"/>
              </w:rPr>
              <w:t xml:space="preserve">0米</w:t>
            </w:r>
            <w:r>
              <w:rPr>
                <w:szCs w:val="20"/>
              </w:rPr>
            </w:r>
            <w:r/>
          </w:p>
          <w:p>
            <w:pPr>
              <w:pStyle w:val="986"/>
              <w:numPr>
                <w:ilvl w:val="0"/>
                <w:numId w:val="17"/>
              </w:numPr>
              <w:spacing w:before="0" w:beforeAutospacing="0" w:after="0" w:afterAutospacing="0"/>
              <w:shd w:val="clear" w:color="auto" w:fill="ffffff"/>
              <w:rPr>
                <w:szCs w:val="20"/>
              </w:rPr>
            </w:pPr>
            <w:r>
              <w:rPr>
                <w:rFonts w:hint="eastAsia"/>
                <w:szCs w:val="20"/>
              </w:rPr>
              <w:t xml:space="preserve">降噪：支持</w:t>
            </w:r>
            <w:r>
              <w:rPr>
                <w:szCs w:val="20"/>
              </w:rPr>
              <w:t xml:space="preserve">3D</w:t>
            </w:r>
            <w:r>
              <w:rPr>
                <w:rFonts w:hint="eastAsia"/>
                <w:szCs w:val="20"/>
              </w:rPr>
              <w:t xml:space="preserve">数字降噪,支持120dB超宽动态</w:t>
            </w:r>
            <w:r>
              <w:rPr>
                <w:szCs w:val="20"/>
              </w:rPr>
            </w:r>
            <w:r/>
          </w:p>
          <w:p>
            <w:pPr>
              <w:pStyle w:val="986"/>
              <w:numPr>
                <w:ilvl w:val="0"/>
                <w:numId w:val="17"/>
              </w:numPr>
              <w:spacing w:before="0" w:beforeAutospacing="0" w:after="0" w:afterAutospacing="0"/>
              <w:shd w:val="clear" w:color="auto" w:fill="ffffff"/>
              <w:rPr>
                <w:szCs w:val="20"/>
              </w:rPr>
            </w:pPr>
            <w:r>
              <w:rPr>
                <w:rFonts w:hint="eastAsia"/>
                <w:szCs w:val="20"/>
              </w:rPr>
              <w:t xml:space="preserve">取流监控：支持三码流</w:t>
            </w:r>
            <w:r>
              <w:rPr>
                <w:szCs w:val="20"/>
              </w:rPr>
              <w:t xml:space="preserve">,</w:t>
            </w:r>
            <w:r>
              <w:rPr>
                <w:rFonts w:hint="eastAsia"/>
                <w:szCs w:val="20"/>
              </w:rPr>
              <w:t xml:space="preserve">支持20路同时取流, 支持手机监控</w:t>
            </w:r>
            <w:r>
              <w:rPr>
                <w:szCs w:val="20"/>
              </w:rPr>
            </w:r>
            <w:r/>
          </w:p>
          <w:p>
            <w:pPr>
              <w:pStyle w:val="986"/>
              <w:numPr>
                <w:ilvl w:val="0"/>
                <w:numId w:val="17"/>
              </w:numPr>
              <w:spacing w:before="0" w:beforeAutospacing="0" w:after="0" w:afterAutospacing="0"/>
              <w:shd w:val="clear" w:color="auto" w:fill="ffffff"/>
              <w:rPr>
                <w:szCs w:val="20"/>
              </w:rPr>
            </w:pPr>
            <w:r>
              <w:rPr>
                <w:rFonts w:hint="eastAsia"/>
                <w:szCs w:val="20"/>
              </w:rPr>
              <w:t xml:space="preserve">背光补偿：支持走廊模式</w:t>
            </w:r>
            <w:r>
              <w:rPr>
                <w:szCs w:val="20"/>
              </w:rPr>
              <w:t xml:space="preserve">,</w:t>
            </w:r>
            <w:r>
              <w:rPr>
                <w:rFonts w:hint="eastAsia"/>
                <w:szCs w:val="20"/>
              </w:rPr>
              <w:t xml:space="preserve">背光补偿</w:t>
            </w:r>
            <w:r>
              <w:rPr>
                <w:szCs w:val="20"/>
              </w:rPr>
              <w:t xml:space="preserve">,</w:t>
            </w:r>
            <w:r>
              <w:rPr>
                <w:rFonts w:hint="eastAsia"/>
                <w:szCs w:val="20"/>
              </w:rPr>
              <w:t xml:space="preserve">自动电子快门功能</w:t>
            </w:r>
            <w:r>
              <w:rPr>
                <w:szCs w:val="20"/>
              </w:rPr>
              <w:t xml:space="preserve">,</w:t>
            </w:r>
            <w:r>
              <w:rPr>
                <w:rFonts w:hint="eastAsia"/>
                <w:szCs w:val="20"/>
              </w:rPr>
              <w:t xml:space="preserve">适应不同监控环境</w:t>
            </w:r>
            <w:r>
              <w:rPr>
                <w:szCs w:val="20"/>
              </w:rPr>
            </w:r>
            <w:r/>
          </w:p>
          <w:p>
            <w:pPr>
              <w:pStyle w:val="986"/>
              <w:numPr>
                <w:ilvl w:val="0"/>
                <w:numId w:val="17"/>
              </w:numPr>
              <w:spacing w:before="0" w:beforeAutospacing="0" w:after="0" w:afterAutospacing="0"/>
              <w:shd w:val="clear" w:color="auto" w:fill="ffffff"/>
              <w:rPr>
                <w:szCs w:val="20"/>
              </w:rPr>
            </w:pPr>
            <w:r>
              <w:rPr>
                <w:rFonts w:hint="eastAsia"/>
                <w:szCs w:val="20"/>
              </w:rPr>
              <w:t xml:space="preserve">智能报警：支持智能报警</w:t>
            </w:r>
            <w:r>
              <w:rPr>
                <w:szCs w:val="20"/>
              </w:rPr>
              <w:t xml:space="preserve">:</w:t>
            </w:r>
            <w:r>
              <w:rPr>
                <w:rFonts w:hint="eastAsia"/>
                <w:szCs w:val="20"/>
              </w:rPr>
              <w:t xml:space="preserve">越界侦测</w:t>
            </w:r>
            <w:r>
              <w:rPr>
                <w:szCs w:val="20"/>
              </w:rPr>
              <w:t xml:space="preserve">,</w:t>
            </w:r>
            <w:r>
              <w:rPr>
                <w:rFonts w:hint="eastAsia"/>
                <w:szCs w:val="20"/>
              </w:rPr>
              <w:t xml:space="preserve">区域入侵</w:t>
            </w:r>
            <w:r>
              <w:rPr>
                <w:szCs w:val="20"/>
              </w:rPr>
              <w:t xml:space="preserve">侦测</w:t>
            </w:r>
            <w:r>
              <w:rPr>
                <w:szCs w:val="20"/>
              </w:rPr>
            </w:r>
            <w:r/>
          </w:p>
          <w:p>
            <w:pPr>
              <w:pStyle w:val="986"/>
              <w:numPr>
                <w:ilvl w:val="0"/>
                <w:numId w:val="17"/>
              </w:numPr>
              <w:spacing w:before="0" w:beforeAutospacing="0" w:after="0" w:afterAutospacing="0"/>
              <w:shd w:val="clear" w:color="auto" w:fill="ffffff"/>
              <w:rPr>
                <w:szCs w:val="20"/>
              </w:rPr>
            </w:pPr>
            <w:r>
              <w:rPr>
                <w:rFonts w:hint="eastAsia"/>
                <w:szCs w:val="20"/>
              </w:rPr>
              <w:t xml:space="preserve">智能检索：支持智能后检索,配合NVR支持事件的二次检索分析</w:t>
            </w:r>
            <w:r>
              <w:rPr>
                <w:szCs w:val="20"/>
              </w:rPr>
            </w:r>
            <w:r/>
          </w:p>
          <w:p>
            <w:pPr>
              <w:pStyle w:val="986"/>
              <w:numPr>
                <w:ilvl w:val="0"/>
                <w:numId w:val="17"/>
              </w:numPr>
              <w:spacing w:before="0" w:beforeAutospacing="0" w:after="0" w:afterAutospacing="0"/>
              <w:shd w:val="clear" w:color="auto" w:fill="ffffff"/>
              <w:rPr>
                <w:szCs w:val="20"/>
              </w:rPr>
            </w:pPr>
            <w:r>
              <w:rPr>
                <w:szCs w:val="20"/>
              </w:rPr>
              <w:t xml:space="preserve">接入</w:t>
            </w:r>
            <w:r>
              <w:rPr>
                <w:rFonts w:hint="eastAsia"/>
                <w:szCs w:val="20"/>
              </w:rPr>
              <w:t xml:space="preserve">：支持</w:t>
            </w:r>
            <w:r>
              <w:rPr>
                <w:szCs w:val="20"/>
              </w:rPr>
              <w:t xml:space="preserve">GB28181</w:t>
            </w:r>
            <w:r>
              <w:rPr>
                <w:rFonts w:hint="eastAsia"/>
                <w:szCs w:val="20"/>
              </w:rPr>
              <w:t xml:space="preserve">接入,</w:t>
            </w:r>
            <w:r>
              <w:rPr>
                <w:szCs w:val="20"/>
              </w:rPr>
              <w:t xml:space="preserve">支持</w:t>
            </w:r>
            <w:r>
              <w:rPr>
                <w:rFonts w:hint="eastAsia"/>
                <w:szCs w:val="20"/>
              </w:rPr>
              <w:t xml:space="preserve">EHOME平台</w:t>
            </w:r>
            <w:r>
              <w:rPr>
                <w:szCs w:val="20"/>
              </w:rPr>
              <w:t xml:space="preserve">接入</w:t>
            </w:r>
            <w:r>
              <w:rPr>
                <w:rFonts w:hint="eastAsia"/>
                <w:szCs w:val="20"/>
              </w:rPr>
              <w:t xml:space="preserve">、支持</w:t>
            </w:r>
            <w:r>
              <w:rPr>
                <w:szCs w:val="20"/>
              </w:rPr>
              <w:t xml:space="preserve">NAS、Email、FTP、NTP</w:t>
            </w:r>
            <w:r>
              <w:rPr>
                <w:rFonts w:hint="eastAsia"/>
                <w:szCs w:val="20"/>
              </w:rPr>
              <w:t xml:space="preserve">服务器</w:t>
            </w:r>
            <w:r>
              <w:rPr>
                <w:szCs w:val="20"/>
              </w:rPr>
              <w:t xml:space="preserve">测试</w:t>
            </w:r>
            <w:r>
              <w:rPr>
                <w:szCs w:val="20"/>
              </w:rPr>
            </w:r>
            <w:r/>
          </w:p>
          <w:p>
            <w:pPr>
              <w:pStyle w:val="986"/>
              <w:numPr>
                <w:ilvl w:val="0"/>
                <w:numId w:val="17"/>
              </w:numPr>
              <w:spacing w:before="0" w:beforeAutospacing="0" w:after="0" w:afterAutospacing="0"/>
              <w:shd w:val="clear" w:color="auto" w:fill="ffffff"/>
              <w:rPr>
                <w:szCs w:val="20"/>
              </w:rPr>
            </w:pPr>
            <w:r>
              <w:rPr>
                <w:szCs w:val="20"/>
              </w:rPr>
              <w:t xml:space="preserve">安全</w:t>
            </w:r>
            <w:r>
              <w:rPr>
                <w:rFonts w:hint="eastAsia"/>
                <w:szCs w:val="20"/>
              </w:rPr>
              <w:t xml:space="preserve">；支持</w:t>
            </w:r>
            <w:r>
              <w:rPr>
                <w:szCs w:val="20"/>
              </w:rPr>
              <w:t xml:space="preserve">HTTPS,SSH等安全认证,支持创建证书</w:t>
            </w:r>
            <w:r>
              <w:rPr>
                <w:rFonts w:hint="eastAsia"/>
                <w:szCs w:val="20"/>
              </w:rPr>
              <w:t xml:space="preserve">、web支持basic和digest认证、支持用户登录锁定机制,及密码复杂度提示</w:t>
            </w:r>
            <w:r>
              <w:rPr>
                <w:szCs w:val="20"/>
              </w:rPr>
            </w:r>
            <w:r/>
          </w:p>
          <w:p>
            <w:pPr>
              <w:pStyle w:val="986"/>
              <w:numPr>
                <w:ilvl w:val="0"/>
                <w:numId w:val="17"/>
              </w:numPr>
              <w:spacing w:before="0" w:beforeAutospacing="0" w:after="0" w:afterAutospacing="0"/>
              <w:shd w:val="clear" w:color="auto" w:fill="ffffff"/>
              <w:rPr>
                <w:rFonts w:hint="eastAsia"/>
                <w:szCs w:val="20"/>
              </w:rPr>
            </w:pPr>
            <w:r>
              <w:rPr>
                <w:rFonts w:hint="eastAsia"/>
                <w:szCs w:val="20"/>
              </w:rPr>
              <w:t xml:space="preserve">三防:</w:t>
            </w:r>
            <w:r>
              <w:rPr>
                <w:szCs w:val="20"/>
              </w:rPr>
              <w:t xml:space="preserve">符合IP6</w:t>
            </w:r>
            <w:r>
              <w:rPr>
                <w:rFonts w:hint="eastAsia"/>
                <w:szCs w:val="20"/>
              </w:rPr>
              <w:t xml:space="preserve">6</w:t>
            </w:r>
            <w:r>
              <w:rPr>
                <w:szCs w:val="20"/>
              </w:rPr>
              <w:t xml:space="preserve">级防尘防水设计</w:t>
            </w:r>
            <w:r>
              <w:rPr>
                <w:rFonts w:hint="eastAsia"/>
                <w:szCs w:val="20"/>
              </w:rPr>
              <w:t xml:space="preserve">、</w:t>
            </w:r>
            <w:r>
              <w:rPr>
                <w:szCs w:val="20"/>
              </w:rPr>
              <w:t xml:space="preserve">防暴等级支持IK</w:t>
            </w:r>
            <w:r>
              <w:rPr>
                <w:rFonts w:hint="eastAsia"/>
                <w:szCs w:val="20"/>
              </w:rPr>
              <w:t xml:space="preserve">08</w:t>
            </w:r>
            <w:r>
              <w:rPr>
                <w:rFonts w:hint="eastAsia"/>
                <w:szCs w:val="20"/>
              </w:rPr>
            </w:r>
            <w:r/>
          </w:p>
        </w:tc>
      </w:tr>
      <w:tr>
        <w:trPr/>
        <w:tc>
          <w:tcPr>
            <w:tcW w:w="966" w:type="dxa"/>
            <w:vAlign w:val="center"/>
            <w:textDirection w:val="lrTb"/>
            <w:noWrap w:val="false"/>
          </w:tcPr>
          <w:p>
            <w:pPr>
              <w:pStyle w:val="895"/>
              <w:jc w:val="center"/>
              <w:widowControl/>
              <w:rPr>
                <w:rFonts w:hint="eastAsia" w:ascii="宋体" w:hAnsi="宋体" w:cs="宋体"/>
                <w:b/>
                <w:bCs/>
                <w:sz w:val="24"/>
                <w:szCs w:val="21"/>
              </w:rPr>
            </w:pPr>
            <w:r>
              <w:rPr>
                <w:rFonts w:hint="eastAsia" w:ascii="宋体" w:hAnsi="宋体" w:cs="宋体"/>
                <w:b/>
                <w:bCs/>
                <w:sz w:val="24"/>
                <w:szCs w:val="21"/>
              </w:rPr>
              <w:t xml:space="preserve">二十五</w:t>
            </w:r>
            <w:r>
              <w:rPr>
                <w:rFonts w:hint="eastAsia" w:ascii="宋体" w:hAnsi="宋体" w:cs="宋体"/>
                <w:b/>
                <w:bCs/>
                <w:sz w:val="24"/>
                <w:szCs w:val="21"/>
              </w:rPr>
            </w:r>
            <w:r/>
          </w:p>
        </w:tc>
        <w:tc>
          <w:tcPr>
            <w:tcW w:w="1138" w:type="dxa"/>
            <w:vAlign w:val="center"/>
            <w:textDirection w:val="lrTb"/>
            <w:noWrap w:val="false"/>
          </w:tcPr>
          <w:p>
            <w:pPr>
              <w:pStyle w:val="895"/>
              <w:jc w:val="center"/>
              <w:widowControl/>
              <w:rPr>
                <w:rFonts w:hint="eastAsia" w:ascii="宋体" w:hAnsi="宋体" w:cs="宋体"/>
                <w:b/>
                <w:bCs/>
                <w:sz w:val="24"/>
                <w:szCs w:val="21"/>
              </w:rPr>
            </w:pPr>
            <w:r>
              <w:rPr>
                <w:rFonts w:hint="eastAsia" w:ascii="宋体" w:hAnsi="宋体" w:cs="宋体"/>
                <w:b/>
                <w:bCs/>
                <w:sz w:val="24"/>
                <w:szCs w:val="21"/>
              </w:rPr>
              <w:t xml:space="preserve">路由器</w:t>
            </w:r>
            <w:r>
              <w:rPr>
                <w:rFonts w:hint="eastAsia" w:ascii="宋体" w:hAnsi="宋体" w:cs="宋体"/>
                <w:b/>
                <w:bCs/>
                <w:sz w:val="24"/>
                <w:szCs w:val="21"/>
              </w:rPr>
            </w:r>
            <w:r/>
          </w:p>
        </w:tc>
        <w:tc>
          <w:tcPr>
            <w:tcW w:w="891" w:type="dxa"/>
            <w:vAlign w:val="center"/>
            <w:textDirection w:val="lrTb"/>
            <w:noWrap w:val="false"/>
          </w:tcPr>
          <w:p>
            <w:pPr>
              <w:pStyle w:val="986"/>
              <w:jc w:val="both"/>
              <w:spacing w:before="0" w:beforeAutospacing="0" w:after="0" w:afterAutospacing="0"/>
              <w:shd w:val="clear" w:color="auto" w:fill="ffffff"/>
              <w:rPr>
                <w:szCs w:val="20"/>
              </w:rPr>
            </w:pPr>
            <w:r>
              <w:rPr>
                <w:rFonts w:hint="eastAsia"/>
                <w:szCs w:val="20"/>
              </w:rPr>
              <w:t xml:space="preserve">每车配备1个，共2个</w:t>
            </w:r>
            <w:r>
              <w:rPr>
                <w:szCs w:val="20"/>
              </w:rPr>
            </w:r>
            <w:r/>
          </w:p>
        </w:tc>
        <w:tc>
          <w:tcPr>
            <w:tcW w:w="5713" w:type="dxa"/>
            <w:vAlign w:val="center"/>
            <w:textDirection w:val="lrTb"/>
            <w:noWrap w:val="false"/>
          </w:tcPr>
          <w:p>
            <w:pPr>
              <w:pStyle w:val="986"/>
              <w:numPr>
                <w:ilvl w:val="0"/>
                <w:numId w:val="18"/>
              </w:numPr>
              <w:spacing w:before="0" w:beforeAutospacing="0" w:after="0" w:afterAutospacing="0"/>
              <w:shd w:val="clear" w:color="auto" w:fill="ffffff"/>
              <w:rPr>
                <w:szCs w:val="20"/>
              </w:rPr>
            </w:pPr>
            <w:r>
              <w:rPr>
                <w:rFonts w:hint="eastAsia"/>
                <w:szCs w:val="20"/>
              </w:rPr>
              <w:t xml:space="preserve">网络制式：5G（兼容4G）</w:t>
            </w:r>
            <w:r>
              <w:rPr>
                <w:szCs w:val="20"/>
              </w:rPr>
            </w:r>
            <w:r/>
          </w:p>
          <w:p>
            <w:pPr>
              <w:pStyle w:val="986"/>
              <w:numPr>
                <w:ilvl w:val="0"/>
                <w:numId w:val="18"/>
              </w:numPr>
              <w:spacing w:before="0" w:beforeAutospacing="0" w:after="0" w:afterAutospacing="0"/>
              <w:shd w:val="clear" w:color="auto" w:fill="ffffff"/>
              <w:rPr>
                <w:szCs w:val="20"/>
              </w:rPr>
            </w:pPr>
            <w:r>
              <w:rPr>
                <w:rFonts w:hint="eastAsia"/>
                <w:szCs w:val="20"/>
              </w:rPr>
              <w:t xml:space="preserve">天线接口：4 个天线接口（SMA-K 母头，暂不支持 4G2-A 天线）</w:t>
            </w:r>
            <w:r>
              <w:rPr>
                <w:szCs w:val="20"/>
              </w:rPr>
            </w:r>
            <w:r/>
          </w:p>
          <w:p>
            <w:pPr>
              <w:pStyle w:val="986"/>
              <w:numPr>
                <w:ilvl w:val="0"/>
                <w:numId w:val="18"/>
              </w:numPr>
              <w:spacing w:before="0" w:beforeAutospacing="0" w:after="0" w:afterAutospacing="0"/>
              <w:shd w:val="clear" w:color="auto" w:fill="ffffff"/>
              <w:rPr>
                <w:szCs w:val="20"/>
              </w:rPr>
            </w:pPr>
            <w:r>
              <w:rPr>
                <w:rFonts w:hint="eastAsia"/>
                <w:szCs w:val="20"/>
              </w:rPr>
              <w:t xml:space="preserve">SIM卡：1.8V/3.0V</w:t>
            </w:r>
            <w:r>
              <w:rPr>
                <w:szCs w:val="20"/>
              </w:rPr>
            </w:r>
            <w:r/>
          </w:p>
          <w:p>
            <w:pPr>
              <w:pStyle w:val="986"/>
              <w:numPr>
                <w:ilvl w:val="0"/>
                <w:numId w:val="18"/>
              </w:numPr>
              <w:spacing w:before="0" w:beforeAutospacing="0" w:after="0" w:afterAutospacing="0"/>
              <w:shd w:val="clear" w:color="auto" w:fill="ffffff"/>
              <w:rPr>
                <w:szCs w:val="20"/>
              </w:rPr>
            </w:pPr>
            <w:r>
              <w:rPr>
                <w:rFonts w:hint="eastAsia"/>
                <w:szCs w:val="20"/>
              </w:rPr>
              <w:t xml:space="preserve">RESET：支持RESET按键</w:t>
            </w:r>
            <w:r>
              <w:rPr>
                <w:szCs w:val="20"/>
              </w:rPr>
            </w:r>
            <w:r/>
          </w:p>
          <w:p>
            <w:pPr>
              <w:pStyle w:val="986"/>
              <w:numPr>
                <w:ilvl w:val="0"/>
                <w:numId w:val="18"/>
              </w:numPr>
              <w:spacing w:before="0" w:beforeAutospacing="0" w:after="0" w:afterAutospacing="0"/>
              <w:shd w:val="clear" w:color="auto" w:fill="ffffff"/>
              <w:rPr>
                <w:szCs w:val="20"/>
              </w:rPr>
            </w:pPr>
            <w:r>
              <w:rPr>
                <w:rFonts w:hint="eastAsia"/>
                <w:szCs w:val="20"/>
              </w:rPr>
              <w:t xml:space="preserve">LAN接口：4x10/100Mb自适应</w:t>
            </w:r>
            <w:r>
              <w:rPr>
                <w:szCs w:val="20"/>
              </w:rPr>
            </w:r>
            <w:r/>
          </w:p>
          <w:p>
            <w:pPr>
              <w:pStyle w:val="986"/>
              <w:numPr>
                <w:ilvl w:val="0"/>
                <w:numId w:val="18"/>
              </w:numPr>
              <w:spacing w:before="0" w:beforeAutospacing="0" w:after="0" w:afterAutospacing="0"/>
              <w:shd w:val="clear" w:color="auto" w:fill="ffffff"/>
              <w:rPr>
                <w:szCs w:val="20"/>
              </w:rPr>
            </w:pPr>
            <w:r>
              <w:rPr>
                <w:rFonts w:hint="eastAsia"/>
                <w:szCs w:val="20"/>
              </w:rPr>
              <w:t xml:space="preserve">WAN接口：1x10/100Mb自适应</w:t>
            </w:r>
            <w:r>
              <w:rPr>
                <w:szCs w:val="20"/>
              </w:rPr>
            </w:r>
            <w:r/>
          </w:p>
          <w:p>
            <w:pPr>
              <w:pStyle w:val="986"/>
              <w:numPr>
                <w:ilvl w:val="0"/>
                <w:numId w:val="18"/>
              </w:numPr>
              <w:spacing w:before="0" w:beforeAutospacing="0" w:after="0" w:afterAutospacing="0"/>
              <w:shd w:val="clear" w:color="auto" w:fill="ffffff"/>
              <w:rPr>
                <w:szCs w:val="20"/>
              </w:rPr>
            </w:pPr>
            <w:r>
              <w:rPr>
                <w:rFonts w:hint="eastAsia"/>
                <w:szCs w:val="20"/>
              </w:rPr>
              <w:t xml:space="preserve">工作电压：+5V～+36V DC</w:t>
            </w:r>
            <w:r>
              <w:rPr>
                <w:szCs w:val="20"/>
              </w:rPr>
            </w:r>
            <w:r/>
          </w:p>
          <w:p>
            <w:pPr>
              <w:pStyle w:val="986"/>
              <w:numPr>
                <w:ilvl w:val="0"/>
                <w:numId w:val="18"/>
              </w:numPr>
              <w:spacing w:before="0" w:beforeAutospacing="0" w:after="0" w:afterAutospacing="0"/>
              <w:shd w:val="clear" w:color="auto" w:fill="ffffff"/>
              <w:rPr>
                <w:szCs w:val="20"/>
              </w:rPr>
            </w:pPr>
            <w:r>
              <w:rPr>
                <w:rFonts w:hint="eastAsia"/>
                <w:szCs w:val="20"/>
              </w:rPr>
              <w:t xml:space="preserve">待机功耗：约200mA@12V DC</w:t>
            </w:r>
            <w:r>
              <w:rPr>
                <w:szCs w:val="20"/>
              </w:rPr>
            </w:r>
            <w:r/>
          </w:p>
          <w:p>
            <w:pPr>
              <w:pStyle w:val="986"/>
              <w:numPr>
                <w:ilvl w:val="0"/>
                <w:numId w:val="18"/>
              </w:numPr>
              <w:spacing w:before="0" w:beforeAutospacing="0" w:after="0" w:afterAutospacing="0"/>
              <w:shd w:val="clear" w:color="auto" w:fill="ffffff"/>
              <w:rPr>
                <w:szCs w:val="20"/>
              </w:rPr>
            </w:pPr>
            <w:r>
              <w:rPr>
                <w:rFonts w:hint="eastAsia"/>
                <w:szCs w:val="20"/>
              </w:rPr>
              <w:t xml:space="preserve">工作功耗：约400mA@12V DC</w:t>
            </w:r>
            <w:r>
              <w:rPr>
                <w:szCs w:val="20"/>
              </w:rPr>
            </w:r>
            <w:r/>
          </w:p>
          <w:p>
            <w:pPr>
              <w:pStyle w:val="986"/>
              <w:numPr>
                <w:ilvl w:val="0"/>
                <w:numId w:val="18"/>
              </w:numPr>
              <w:spacing w:before="0" w:beforeAutospacing="0" w:after="0" w:afterAutospacing="0"/>
              <w:shd w:val="clear" w:color="auto" w:fill="ffffff"/>
              <w:rPr>
                <w:rFonts w:hint="eastAsia"/>
                <w:szCs w:val="20"/>
              </w:rPr>
            </w:pPr>
            <w:r>
              <w:rPr>
                <w:rFonts w:hint="eastAsia"/>
                <w:szCs w:val="20"/>
              </w:rPr>
              <w:t xml:space="preserve">重量：约540g</w:t>
            </w:r>
            <w:r>
              <w:rPr>
                <w:rFonts w:hint="eastAsia"/>
                <w:szCs w:val="20"/>
              </w:rPr>
            </w:r>
            <w:r/>
          </w:p>
        </w:tc>
      </w:tr>
    </w:tbl>
    <w:p>
      <w:pPr>
        <w:pStyle w:val="916"/>
        <w:spacing w:line="520" w:lineRule="exact"/>
        <w:rPr>
          <w:rFonts w:hint="eastAsia" w:ascii="仿宋" w:hAnsi="仿宋" w:eastAsia="仿宋"/>
          <w:bCs/>
          <w:sz w:val="28"/>
          <w:szCs w:val="28"/>
        </w:rPr>
      </w:pPr>
      <w:r>
        <w:rPr>
          <w:rFonts w:hint="eastAsia" w:ascii="仿宋" w:hAnsi="仿宋" w:eastAsia="仿宋"/>
          <w:bCs/>
          <w:sz w:val="28"/>
          <w:szCs w:val="28"/>
        </w:rPr>
      </w:r>
      <w:r/>
    </w:p>
    <w:p>
      <w:pPr>
        <w:pStyle w:val="916"/>
        <w:spacing w:line="520" w:lineRule="exact"/>
        <w:rPr>
          <w:rFonts w:hint="eastAsia" w:ascii="仿宋" w:hAnsi="仿宋" w:eastAsia="仿宋"/>
          <w:bCs/>
          <w:sz w:val="28"/>
          <w:szCs w:val="28"/>
        </w:rPr>
      </w:pPr>
      <w:r>
        <w:rPr>
          <w:rFonts w:ascii="仿宋" w:hAnsi="仿宋" w:eastAsia="仿宋" w:cs="宋体"/>
          <w:color w:val="000000"/>
          <w:sz w:val="28"/>
          <w:szCs w:val="28"/>
          <w:lang w:val="zh-CN"/>
        </w:rPr>
        <w:t xml:space="preserve">★</w:t>
      </w:r>
      <w:r>
        <w:rPr>
          <w:rFonts w:hint="eastAsia" w:ascii="仿宋" w:hAnsi="仿宋" w:eastAsia="仿宋"/>
          <w:bCs/>
          <w:sz w:val="28"/>
          <w:szCs w:val="28"/>
        </w:rPr>
        <w:t xml:space="preserve">二、质保期限及售后服务</w:t>
      </w:r>
      <w:r>
        <w:rPr>
          <w:rFonts w:hint="eastAsia" w:ascii="仿宋" w:hAnsi="仿宋" w:eastAsia="仿宋"/>
          <w:bCs/>
          <w:sz w:val="28"/>
          <w:szCs w:val="28"/>
        </w:rPr>
      </w:r>
      <w:r/>
    </w:p>
    <w:p>
      <w:pPr>
        <w:pStyle w:val="916"/>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首保免费且质保期内（二年或者五万公里，以先到者为准。）免费上门服务</w:t>
      </w:r>
      <w:r>
        <w:rPr>
          <w:rFonts w:hint="eastAsia" w:ascii="仿宋" w:hAnsi="仿宋" w:eastAsia="仿宋"/>
          <w:b/>
          <w:sz w:val="28"/>
          <w:szCs w:val="28"/>
        </w:rPr>
        <w:t xml:space="preserve">（提供承诺书，格式自拟加盖投标人电子签章，未提供作无效投标处理）</w:t>
      </w:r>
      <w:r>
        <w:rPr>
          <w:rFonts w:hint="eastAsia" w:ascii="仿宋" w:hAnsi="仿宋" w:eastAsia="仿宋"/>
          <w:bCs/>
          <w:sz w:val="28"/>
          <w:szCs w:val="28"/>
        </w:rPr>
        <w:t xml:space="preserve">。</w:t>
      </w:r>
      <w:r>
        <w:rPr>
          <w:rFonts w:hint="eastAsia" w:ascii="仿宋" w:hAnsi="仿宋" w:eastAsia="仿宋"/>
          <w:bCs/>
          <w:sz w:val="28"/>
          <w:szCs w:val="28"/>
        </w:rPr>
      </w:r>
      <w:r/>
    </w:p>
    <w:p>
      <w:pPr>
        <w:pStyle w:val="916"/>
        <w:spacing w:line="520" w:lineRule="exact"/>
        <w:rPr>
          <w:rFonts w:hint="eastAsia" w:ascii="仿宋" w:hAnsi="仿宋" w:eastAsia="仿宋"/>
          <w:bCs/>
          <w:sz w:val="28"/>
          <w:szCs w:val="28"/>
        </w:rPr>
      </w:pPr>
      <w:r>
        <w:rPr>
          <w:rFonts w:hint="eastAsia" w:ascii="仿宋" w:hAnsi="仿宋" w:eastAsia="仿宋"/>
          <w:bCs/>
          <w:sz w:val="28"/>
          <w:szCs w:val="28"/>
        </w:rPr>
        <w:t xml:space="preserve">三、商务部分</w:t>
      </w:r>
      <w:r>
        <w:rPr>
          <w:rFonts w:hint="eastAsia" w:ascii="仿宋" w:hAnsi="仿宋" w:eastAsia="仿宋"/>
          <w:bCs/>
          <w:sz w:val="28"/>
          <w:szCs w:val="28"/>
        </w:rPr>
      </w:r>
      <w:r/>
    </w:p>
    <w:p>
      <w:pPr>
        <w:pStyle w:val="895"/>
        <w:ind w:firstLine="56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rPr>
        <w:t xml:space="preserve">（一）供货时间:合同签订后35日内供货安装调试到位。</w:t>
      </w:r>
      <w:r>
        <w:rPr>
          <w:rFonts w:hint="eastAsia" w:ascii="仿宋" w:hAnsi="仿宋" w:eastAsia="仿宋"/>
          <w:sz w:val="28"/>
          <w:szCs w:val="28"/>
        </w:rPr>
      </w:r>
      <w:r/>
    </w:p>
    <w:p>
      <w:pPr>
        <w:pStyle w:val="895"/>
        <w:ind w:firstLine="56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rPr>
        <w:t xml:space="preserve">（二）供货地点:由采购人指定。</w:t>
      </w:r>
      <w:r>
        <w:rPr>
          <w:rFonts w:hint="eastAsia" w:ascii="仿宋" w:hAnsi="仿宋" w:eastAsia="仿宋"/>
          <w:sz w:val="28"/>
          <w:szCs w:val="28"/>
        </w:rPr>
      </w:r>
      <w:r/>
    </w:p>
    <w:p>
      <w:pPr>
        <w:pStyle w:val="895"/>
        <w:ind w:firstLine="56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rPr>
        <w:t xml:space="preserve">（三）付款方式:</w:t>
      </w:r>
      <w:r>
        <w:rPr>
          <w:rFonts w:hint="eastAsia"/>
        </w:rPr>
        <w:t xml:space="preserve"> </w:t>
      </w:r>
      <w:r>
        <w:rPr>
          <w:rFonts w:hint="eastAsia" w:ascii="仿宋" w:hAnsi="仿宋" w:eastAsia="仿宋"/>
          <w:sz w:val="28"/>
          <w:szCs w:val="28"/>
        </w:rPr>
        <w:t xml:space="preserve">合同签订后7个工作日内支付合同总金额的90%，项目验收合格后，中标单位须向采购人出具有效正规发票后，15个工作日内支付剩余合同价款。</w:t>
      </w:r>
      <w:r>
        <w:rPr>
          <w:rFonts w:hint="eastAsia" w:ascii="仿宋" w:hAnsi="仿宋" w:eastAsia="仿宋"/>
          <w:sz w:val="28"/>
          <w:szCs w:val="28"/>
        </w:rPr>
      </w:r>
      <w:r/>
    </w:p>
    <w:p>
      <w:pPr>
        <w:pStyle w:val="895"/>
        <w:jc w:val="center"/>
        <w:keepLines w:val="0"/>
        <w:keepNext w:val="0"/>
        <w:pageBreakBefore w:val="0"/>
        <w:spacing w:line="400" w:lineRule="exact"/>
        <w:widowControl w:val="off"/>
        <w:rPr>
          <w:rFonts w:hint="eastAsia" w:ascii="黑体" w:hAnsi="黑体" w:eastAsia="黑体"/>
          <w:b/>
          <w:bCs/>
          <w:sz w:val="36"/>
          <w:szCs w:val="36"/>
        </w:rPr>
        <w:outlineLvl w:val="9"/>
      </w:pPr>
      <w:r>
        <w:rPr>
          <w:rFonts w:hint="eastAsia" w:ascii="黑体" w:hAnsi="黑体" w:eastAsia="黑体"/>
          <w:b/>
          <w:bCs/>
          <w:sz w:val="36"/>
        </w:rPr>
        <w:br w:type="page" w:clear="all"/>
      </w:r>
      <w:r>
        <w:rPr>
          <w:rFonts w:hint="eastAsia" w:ascii="黑体" w:hAnsi="黑体" w:eastAsia="黑体"/>
          <w:b/>
          <w:bCs/>
          <w:sz w:val="36"/>
        </w:rPr>
      </w:r>
    </w:p>
    <w:p>
      <w:pPr>
        <w:jc w:val="center"/>
        <w:keepLines w:val="0"/>
        <w:keepNext w:val="0"/>
        <w:pageBreakBefore w:val="0"/>
        <w:spacing w:line="400" w:lineRule="exact"/>
        <w:widowControl w:val="off"/>
        <w:rPr>
          <w:rFonts w:hint="eastAsia" w:ascii="黑体" w:hAnsi="黑体" w:eastAsia="黑体"/>
          <w:b/>
          <w:bCs/>
          <w:sz w:val="36"/>
          <w:szCs w:val="36"/>
        </w:rPr>
        <w:outlineLvl w:val="9"/>
      </w:pPr>
      <w:r>
        <w:rPr>
          <w:rFonts w:hint="eastAsia" w:ascii="黑体" w:hAnsi="黑体" w:eastAsia="黑体"/>
          <w:b/>
          <w:bCs/>
          <w:sz w:val="36"/>
          <w:highlight w:val="none"/>
        </w:rPr>
      </w:r>
      <w:r>
        <w:rPr>
          <w:rFonts w:hint="eastAsia" w:ascii="黑体" w:hAnsi="黑体" w:eastAsia="黑体"/>
          <w:b/>
          <w:bCs/>
          <w:sz w:val="36"/>
          <w:highlight w:val="none"/>
        </w:rPr>
      </w:r>
    </w:p>
    <w:p>
      <w:pPr>
        <w:jc w:val="center"/>
        <w:keepLines w:val="0"/>
        <w:keepNext w:val="0"/>
        <w:pageBreakBefore w:val="0"/>
        <w:spacing w:line="400" w:lineRule="exact"/>
        <w:widowControl w:val="off"/>
        <w:rPr>
          <w:rFonts w:hint="eastAsia" w:ascii="黑体" w:hAnsi="黑体" w:eastAsia="黑体"/>
          <w:b/>
          <w:bCs/>
          <w:sz w:val="36"/>
          <w:szCs w:val="36"/>
          <w:highlight w:val="none"/>
        </w:rPr>
        <w:outlineLvl w:val="9"/>
      </w:pPr>
      <w:r>
        <w:rPr>
          <w:rFonts w:hint="eastAsia" w:ascii="黑体" w:hAnsi="黑体" w:eastAsia="黑体"/>
          <w:b/>
          <w:bCs/>
          <w:sz w:val="36"/>
        </w:rPr>
      </w:r>
      <w:r>
        <w:rPr>
          <w:rFonts w:hint="eastAsia" w:ascii="黑体" w:hAnsi="黑体" w:eastAsia="黑体"/>
          <w:b/>
          <w:bCs/>
          <w:sz w:val="36"/>
        </w:rPr>
        <w:t xml:space="preserve">第六章  投标文件</w:t>
      </w:r>
      <w:r/>
      <w:r/>
    </w:p>
    <w:p>
      <w:pPr>
        <w:pStyle w:val="916"/>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916"/>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6"/>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6"/>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6"/>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95"/>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916"/>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16"/>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16"/>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895"/>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5"/>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5"/>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5"/>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895"/>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895"/>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95"/>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95"/>
        <w:ind w:firstLine="1066"/>
        <w:keepLines w:val="0"/>
        <w:keepNext w:val="0"/>
        <w:pageBreakBefore w:val="0"/>
        <w:spacing w:line="400" w:lineRule="exact"/>
        <w:rPr>
          <w:rFonts w:ascii="黑体" w:hAnsi="黑体" w:eastAsia="黑体"/>
          <w:b/>
          <w:bCs/>
          <w:sz w:val="36"/>
          <w:lang w:val="en-US" w:eastAsia="zh-CN"/>
        </w:rPr>
        <w:outlineLvl w:val="9"/>
      </w:pPr>
      <w:r>
        <w:rPr>
          <w:rFonts w:hint="eastAsia" w:ascii="黑体" w:hAnsi="黑体" w:eastAsia="黑体"/>
          <w:b/>
          <w:bCs/>
          <w:sz w:val="36"/>
          <w:lang w:val="en-US" w:eastAsia="zh-CN"/>
        </w:rPr>
        <w:t xml:space="preserve">日       期：</w:t>
      </w:r>
      <w:r>
        <w:rPr>
          <w:rFonts w:ascii="黑体" w:hAnsi="黑体" w:eastAsia="黑体"/>
          <w:b/>
          <w:bCs/>
          <w:sz w:val="36"/>
          <w:lang w:val="en-US" w:eastAsia="zh-CN"/>
        </w:rPr>
      </w:r>
      <w:r/>
    </w:p>
    <w:p>
      <w:pPr>
        <w:pStyle w:val="916"/>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6"/>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6"/>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6"/>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6"/>
        <w:ind w:firstLine="1904"/>
        <w:keepLines w:val="0"/>
        <w:keepNext w:val="0"/>
        <w:pageBreakBefore w:val="0"/>
        <w:rPr>
          <w:rFonts w:hint="eastAsia" w:ascii="黑体" w:hAnsi="黑体" w:eastAsia="黑体"/>
          <w:sz w:val="32"/>
          <w:szCs w:val="32"/>
        </w:rPr>
        <w:outlineLvl w:val="9"/>
      </w:pPr>
      <w:r>
        <w:rPr>
          <w:rFonts w:hint="eastAsia" w:ascii="黑体" w:hAnsi="黑体" w:eastAsia="黑体"/>
          <w:sz w:val="32"/>
        </w:rPr>
      </w:r>
      <w:r>
        <w:rPr>
          <w:rFonts w:hint="eastAsia" w:ascii="黑体" w:hAnsi="黑体" w:eastAsia="黑体"/>
          <w:sz w:val="32"/>
        </w:rPr>
      </w:r>
      <w:r/>
    </w:p>
    <w:p>
      <w:pPr>
        <w:pStyle w:val="916"/>
        <w:ind w:firstLine="1904"/>
        <w:keepLines w:val="0"/>
        <w:keepNext w:val="0"/>
        <w:pageBreakBefore w:val="0"/>
        <w:rPr>
          <w:rFonts w:hint="eastAsia" w:ascii="黑体" w:hAnsi="黑体" w:eastAsia="黑体"/>
          <w:sz w:val="32"/>
          <w:szCs w:val="32"/>
        </w:rPr>
        <w:outlineLvl w:val="9"/>
      </w:pPr>
      <w:r>
        <w:rPr>
          <w:rFonts w:hint="eastAsia" w:ascii="黑体" w:hAnsi="黑体" w:eastAsia="黑体"/>
          <w:sz w:val="32"/>
        </w:rPr>
      </w:r>
      <w:r/>
    </w:p>
    <w:p>
      <w:pPr>
        <w:pStyle w:val="916"/>
        <w:ind w:firstLine="1904"/>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95"/>
        <w:keepLines w:val="0"/>
        <w:keepNext w:val="0"/>
        <w:pageBreakBefore w:val="0"/>
        <w:spacing w:line="600" w:lineRule="exact"/>
        <w:rPr>
          <w:rFonts w:eastAsia="方正仿宋_GBK"/>
          <w:b/>
          <w:bCs/>
          <w:sz w:val="28"/>
          <w:szCs w:val="28"/>
          <w:lang w:val="zh-CN"/>
        </w:rPr>
        <w:outlineLvl w:val="9"/>
      </w:pPr>
      <w:r>
        <w:rPr>
          <w:rFonts w:hint="eastAsia" w:ascii="仿宋" w:hAnsi="仿宋" w:eastAsia="仿宋"/>
          <w:b/>
          <w:sz w:val="32"/>
          <w:szCs w:val="32"/>
        </w:rPr>
        <w:br w:type="page" w:clear="all"/>
      </w:r>
      <w:r>
        <w:rPr>
          <w:rFonts w:eastAsia="方正仿宋_GBK"/>
          <w:b/>
          <w:bCs/>
          <w:sz w:val="28"/>
          <w:szCs w:val="28"/>
          <w:lang w:val="zh-CN"/>
        </w:rPr>
      </w:r>
      <w:r/>
    </w:p>
    <w:p>
      <w:pPr>
        <w:pStyle w:val="916"/>
        <w:ind w:firstLine="2875"/>
        <w:keepLines w:val="0"/>
        <w:keepNext w:val="0"/>
        <w:pageBreakBefore w:val="0"/>
        <w:spacing w:line="640" w:lineRule="exact"/>
        <w:rPr>
          <w:rFonts w:hint="eastAsia" w:ascii="仿宋" w:hAnsi="仿宋" w:eastAsia="仿宋"/>
          <w:b/>
          <w:sz w:val="32"/>
          <w:szCs w:val="32"/>
        </w:rPr>
        <w:outlineLvl w:val="9"/>
      </w:pPr>
      <w:r>
        <w:rPr>
          <w:rFonts w:hint="eastAsia" w:ascii="仿宋" w:hAnsi="仿宋" w:eastAsia="仿宋"/>
          <w:b/>
          <w:sz w:val="32"/>
          <w:szCs w:val="32"/>
        </w:rPr>
        <w:t xml:space="preserve">一、投标函</w:t>
      </w:r>
      <w:r>
        <w:rPr>
          <w:rFonts w:hint="eastAsia" w:ascii="仿宋" w:hAnsi="仿宋" w:eastAsia="仿宋"/>
          <w:b/>
          <w:sz w:val="32"/>
          <w:szCs w:val="32"/>
        </w:rPr>
      </w:r>
      <w:r/>
    </w:p>
    <w:p>
      <w:pPr>
        <w:pStyle w:val="916"/>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967"/>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895"/>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895"/>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967"/>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967"/>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4、我们同意按照招标文件第</w:t>
      </w:r>
      <w:r>
        <w:rPr>
          <w:rFonts w:hint="eastAsia" w:ascii="仿宋" w:hAnsi="仿宋" w:eastAsia="仿宋"/>
          <w:sz w:val="28"/>
          <w:szCs w:val="28"/>
          <w:highlight w:val="none"/>
        </w:rPr>
        <w:t xml:space="preserve">二章第15条的</w:t>
      </w:r>
      <w:r>
        <w:rPr>
          <w:rFonts w:hint="eastAsia" w:ascii="仿宋" w:hAnsi="仿宋" w:eastAsia="仿宋"/>
          <w:sz w:val="28"/>
          <w:szCs w:val="28"/>
        </w:rPr>
        <w:t xml:space="preserve">规定，本投标文件的有效期为从开标之日期起计算的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967"/>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967"/>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967"/>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967"/>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967"/>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967"/>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895"/>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916"/>
        <w:ind w:right="560" w:firstLine="420"/>
        <w:jc w:val="center"/>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sz w:val="28"/>
          <w:szCs w:val="24"/>
        </w:rPr>
      </w:r>
      <w:r/>
    </w:p>
    <w:p>
      <w:pPr>
        <w:pStyle w:val="895"/>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pStyle w:val="895"/>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pStyle w:val="895"/>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pStyle w:val="916"/>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916"/>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916"/>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916"/>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916"/>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916"/>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916"/>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916"/>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916"/>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r>
      <w:r/>
    </w:p>
    <w:p>
      <w:pPr>
        <w:pStyle w:val="916"/>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sz w:val="28"/>
          <w:szCs w:val="24"/>
        </w:rPr>
      </w:r>
      <w:r>
        <w:rPr>
          <w:rFonts w:hint="eastAsia" w:ascii="仿宋" w:hAnsi="仿宋" w:eastAsia="仿宋"/>
          <w:sz w:val="28"/>
          <w:szCs w:val="24"/>
        </w:rPr>
      </w:r>
      <w:r/>
    </w:p>
    <w:p>
      <w:pPr>
        <w:pStyle w:val="916"/>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sz w:val="28"/>
          <w:szCs w:val="28"/>
        </w:rPr>
      </w:r>
      <w:r>
        <w:rPr>
          <w:rFonts w:hint="eastAsia" w:ascii="仿宋" w:hAnsi="仿宋" w:eastAsia="仿宋"/>
          <w:sz w:val="28"/>
          <w:szCs w:val="28"/>
        </w:rPr>
      </w:r>
      <w:r/>
    </w:p>
    <w:p>
      <w:pPr>
        <w:pStyle w:val="916"/>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sz w:val="28"/>
          <w:szCs w:val="24"/>
        </w:rPr>
      </w:r>
      <w:r/>
    </w:p>
    <w:p>
      <w:pPr>
        <w:pStyle w:val="895"/>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r>
      <w:r/>
    </w:p>
    <w:p>
      <w:pPr>
        <w:pStyle w:val="895"/>
        <w:keepLines w:val="0"/>
        <w:keepNext w:val="0"/>
        <w:pageBreakBefore w:val="0"/>
        <w:spacing w:before="19" w:line="440" w:lineRule="exact"/>
        <w:widowControl/>
        <w:rPr>
          <w:rFonts w:hint="eastAsia" w:ascii="仿宋" w:hAnsi="仿宋" w:eastAsia="仿宋"/>
          <w:bCs/>
          <w:sz w:val="32"/>
          <w:szCs w:val="32"/>
        </w:rPr>
        <w:outlineLvl w:val="9"/>
      </w:pPr>
      <w:r>
        <w:rPr>
          <w:rFonts w:hint="eastAsia" w:ascii="仿宋" w:hAnsi="仿宋" w:eastAsia="仿宋"/>
          <w:bCs/>
          <w:sz w:val="32"/>
          <w:szCs w:val="32"/>
        </w:rPr>
      </w:r>
      <w:r/>
    </w:p>
    <w:p>
      <w:pPr>
        <w:pStyle w:val="895"/>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895"/>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895"/>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895"/>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895"/>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895"/>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895"/>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895"/>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895"/>
              <w:ind w:firstLine="1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核心品牌</w:t>
            </w:r>
            <w:r>
              <w:rPr>
                <w:rFonts w:hint="eastAsia" w:ascii="仿宋" w:hAnsi="仿宋" w:eastAsia="仿宋"/>
                <w:sz w:val="28"/>
                <w:szCs w:val="28"/>
              </w:rPr>
            </w:r>
            <w:r/>
          </w:p>
        </w:tc>
        <w:tc>
          <w:tcPr>
            <w:tcW w:w="6759" w:type="dxa"/>
            <w:vAlign w:val="center"/>
            <w:textDirection w:val="lrTb"/>
            <w:noWrap w:val="false"/>
          </w:tcPr>
          <w:p>
            <w:pPr>
              <w:pStyle w:val="895"/>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tc>
      </w:tr>
    </w:tbl>
    <w:p>
      <w:pPr>
        <w:pStyle w:val="895"/>
        <w:ind w:firstLine="411"/>
        <w:keepLines w:val="0"/>
        <w:keepNext w:val="0"/>
        <w:pageBreakBefore w:val="0"/>
        <w:spacing w:line="440" w:lineRule="exact"/>
        <w:rPr>
          <w:rFonts w:hint="eastAsia" w:ascii="仿宋" w:hAnsi="仿宋" w:eastAsia="仿宋"/>
          <w:sz w:val="28"/>
          <w:szCs w:val="28"/>
        </w:rPr>
        <w:outlineLvl w:val="9"/>
      </w:pPr>
      <w:r/>
      <w:bookmarkStart w:id="37" w:name="_Toc136924766"/>
      <w:r/>
      <w:bookmarkStart w:id="38" w:name="_Toc157775459"/>
      <w:r>
        <w:rPr>
          <w:rFonts w:hint="eastAsia" w:ascii="仿宋" w:hAnsi="仿宋" w:eastAsia="仿宋"/>
          <w:sz w:val="28"/>
          <w:szCs w:val="28"/>
        </w:rPr>
      </w:r>
      <w:r/>
    </w:p>
    <w:p>
      <w:pPr>
        <w:pStyle w:val="895"/>
        <w:ind w:firstLine="411"/>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r>
      <w:r/>
    </w:p>
    <w:p>
      <w:pPr>
        <w:pStyle w:val="916"/>
        <w:ind w:firstLine="2875"/>
        <w:keepLines w:val="0"/>
        <w:keepNext w:val="0"/>
        <w:pageBreakBefore w:val="0"/>
        <w:rPr>
          <w:rFonts w:hint="eastAsia" w:hAnsi="宋体"/>
          <w:b/>
          <w:sz w:val="32"/>
          <w:szCs w:val="32"/>
        </w:rPr>
        <w:outlineLvl w:val="9"/>
      </w:pPr>
      <w:r/>
      <w:bookmarkEnd w:id="37"/>
      <w:r/>
      <w:bookmarkEnd w:id="38"/>
      <w:r/>
      <w:bookmarkStart w:id="39" w:name="_Toc157775468"/>
      <w:r>
        <w:rPr>
          <w:rFonts w:hint="eastAsia" w:hAnsi="宋体"/>
          <w:b/>
          <w:sz w:val="32"/>
          <w:szCs w:val="32"/>
        </w:rPr>
      </w:r>
      <w:r/>
    </w:p>
    <w:p>
      <w:pPr>
        <w:pStyle w:val="916"/>
        <w:ind w:firstLine="2875"/>
        <w:keepLines w:val="0"/>
        <w:keepNext w:val="0"/>
        <w:pageBreakBefore w:val="0"/>
        <w:rPr>
          <w:rFonts w:hint="eastAsia" w:hAnsi="宋体"/>
          <w:b/>
          <w:sz w:val="32"/>
          <w:szCs w:val="32"/>
        </w:rPr>
        <w:outlineLvl w:val="9"/>
      </w:pPr>
      <w:r>
        <w:rPr>
          <w:rFonts w:hint="eastAsia" w:hAnsi="宋体"/>
          <w:b/>
          <w:sz w:val="32"/>
          <w:szCs w:val="32"/>
        </w:rPr>
      </w:r>
      <w:r/>
    </w:p>
    <w:p>
      <w:pPr>
        <w:pStyle w:val="916"/>
        <w:ind w:firstLine="2875"/>
        <w:keepLines w:val="0"/>
        <w:keepNext w:val="0"/>
        <w:pageBreakBefore w:val="0"/>
        <w:rPr>
          <w:rFonts w:hint="eastAsia" w:hAnsi="宋体"/>
          <w:b/>
          <w:sz w:val="32"/>
          <w:szCs w:val="32"/>
        </w:rPr>
        <w:outlineLvl w:val="9"/>
      </w:pPr>
      <w:r>
        <w:rPr>
          <w:rFonts w:hint="eastAsia" w:hAnsi="宋体"/>
          <w:b/>
          <w:sz w:val="32"/>
          <w:szCs w:val="32"/>
        </w:rPr>
      </w:r>
      <w:r/>
    </w:p>
    <w:p>
      <w:pPr>
        <w:pStyle w:val="916"/>
        <w:ind w:firstLine="2875"/>
        <w:keepLines w:val="0"/>
        <w:keepNext w:val="0"/>
        <w:pageBreakBefore w:val="0"/>
        <w:rPr>
          <w:rFonts w:hint="eastAsia" w:hAnsi="宋体"/>
          <w:b/>
          <w:sz w:val="32"/>
          <w:szCs w:val="32"/>
        </w:rPr>
        <w:outlineLvl w:val="9"/>
      </w:pPr>
      <w:r>
        <w:rPr>
          <w:rFonts w:hint="eastAsia" w:hAnsi="宋体"/>
          <w:b/>
          <w:sz w:val="32"/>
          <w:szCs w:val="32"/>
        </w:rPr>
      </w:r>
      <w:r/>
    </w:p>
    <w:p>
      <w:pPr>
        <w:pStyle w:val="916"/>
        <w:ind w:firstLine="2875"/>
        <w:keepLines w:val="0"/>
        <w:keepNext w:val="0"/>
        <w:pageBreakBefore w:val="0"/>
        <w:rPr>
          <w:rFonts w:hint="eastAsia" w:hAnsi="宋体"/>
          <w:b/>
          <w:sz w:val="32"/>
          <w:szCs w:val="32"/>
        </w:rPr>
        <w:outlineLvl w:val="9"/>
      </w:pPr>
      <w:r>
        <w:rPr>
          <w:rFonts w:hint="eastAsia" w:hAnsi="宋体"/>
          <w:b/>
          <w:sz w:val="32"/>
          <w:szCs w:val="32"/>
        </w:rPr>
      </w:r>
      <w:r/>
    </w:p>
    <w:p>
      <w:pPr>
        <w:pStyle w:val="916"/>
        <w:ind w:firstLine="2875"/>
        <w:keepLines w:val="0"/>
        <w:keepNext w:val="0"/>
        <w:pageBreakBefore w:val="0"/>
        <w:rPr>
          <w:rFonts w:hint="eastAsia" w:hAnsi="宋体"/>
          <w:b/>
          <w:sz w:val="32"/>
          <w:szCs w:val="32"/>
        </w:rPr>
        <w:outlineLvl w:val="9"/>
      </w:pPr>
      <w:r>
        <w:rPr>
          <w:rFonts w:hint="eastAsia" w:hAnsi="宋体"/>
          <w:b/>
          <w:sz w:val="32"/>
          <w:szCs w:val="32"/>
        </w:rPr>
      </w:r>
      <w:r/>
    </w:p>
    <w:p>
      <w:pPr>
        <w:pStyle w:val="916"/>
        <w:ind w:firstLine="2875"/>
        <w:keepLines w:val="0"/>
        <w:keepNext w:val="0"/>
        <w:pageBreakBefore w:val="0"/>
        <w:rPr>
          <w:rFonts w:hint="eastAsia" w:hAnsi="宋体"/>
          <w:b/>
          <w:sz w:val="32"/>
          <w:szCs w:val="32"/>
        </w:rPr>
        <w:outlineLvl w:val="9"/>
      </w:pPr>
      <w:r>
        <w:rPr>
          <w:rFonts w:hint="eastAsia" w:hAnsi="宋体"/>
          <w:b/>
          <w:sz w:val="32"/>
          <w:szCs w:val="32"/>
        </w:rPr>
      </w:r>
      <w:r/>
    </w:p>
    <w:p>
      <w:pPr>
        <w:pStyle w:val="916"/>
        <w:ind w:firstLine="2875"/>
        <w:keepLines w:val="0"/>
        <w:keepNext w:val="0"/>
        <w:pageBreakBefore w:val="0"/>
        <w:rPr>
          <w:rFonts w:hint="eastAsia" w:hAnsi="宋体"/>
          <w:b/>
          <w:sz w:val="32"/>
          <w:szCs w:val="32"/>
        </w:rPr>
        <w:outlineLvl w:val="9"/>
      </w:pPr>
      <w:r>
        <w:rPr>
          <w:rFonts w:hint="eastAsia" w:hAnsi="宋体"/>
          <w:b/>
          <w:sz w:val="32"/>
          <w:szCs w:val="32"/>
        </w:rPr>
      </w:r>
      <w:r/>
    </w:p>
    <w:p>
      <w:pPr>
        <w:pStyle w:val="916"/>
        <w:ind w:firstLine="2875"/>
        <w:keepLines w:val="0"/>
        <w:keepNext w:val="0"/>
        <w:pageBreakBefore w:val="0"/>
        <w:rPr>
          <w:rFonts w:hint="eastAsia" w:hAnsi="宋体"/>
          <w:b/>
          <w:sz w:val="32"/>
          <w:szCs w:val="32"/>
        </w:rPr>
        <w:outlineLvl w:val="9"/>
      </w:pPr>
      <w:r>
        <w:rPr>
          <w:rFonts w:hint="eastAsia" w:hAnsi="宋体"/>
          <w:b/>
          <w:sz w:val="32"/>
          <w:szCs w:val="32"/>
        </w:rPr>
      </w:r>
      <w:r/>
    </w:p>
    <w:p>
      <w:pPr>
        <w:pStyle w:val="916"/>
        <w:ind w:firstLine="2875"/>
        <w:keepLines w:val="0"/>
        <w:keepNext w:val="0"/>
        <w:pageBreakBefore w:val="0"/>
        <w:rPr>
          <w:rFonts w:hint="eastAsia" w:hAnsi="宋体"/>
          <w:b/>
          <w:sz w:val="32"/>
          <w:szCs w:val="32"/>
        </w:rPr>
        <w:outlineLvl w:val="9"/>
      </w:pPr>
      <w:r>
        <w:rPr>
          <w:rFonts w:hint="eastAsia" w:hAnsi="宋体"/>
          <w:b/>
          <w:sz w:val="32"/>
          <w:szCs w:val="32"/>
        </w:rPr>
      </w:r>
      <w:r/>
    </w:p>
    <w:p>
      <w:pPr>
        <w:pStyle w:val="916"/>
        <w:ind w:firstLine="2875"/>
        <w:keepLines w:val="0"/>
        <w:keepNext w:val="0"/>
        <w:pageBreakBefore w:val="0"/>
        <w:rPr>
          <w:rFonts w:hint="eastAsia" w:hAnsi="宋体"/>
          <w:b/>
          <w:sz w:val="32"/>
          <w:szCs w:val="32"/>
        </w:rPr>
        <w:outlineLvl w:val="9"/>
      </w:pPr>
      <w:r>
        <w:rPr>
          <w:rFonts w:hint="eastAsia" w:hAnsi="宋体"/>
          <w:b/>
          <w:sz w:val="32"/>
          <w:szCs w:val="32"/>
        </w:rPr>
      </w:r>
      <w:r/>
    </w:p>
    <w:p>
      <w:pPr>
        <w:pStyle w:val="916"/>
        <w:ind w:firstLine="2875"/>
        <w:keepLines w:val="0"/>
        <w:keepNext w:val="0"/>
        <w:pageBreakBefore w:val="0"/>
        <w:rPr>
          <w:rFonts w:hint="eastAsia" w:hAnsi="宋体"/>
          <w:b/>
          <w:sz w:val="32"/>
          <w:szCs w:val="32"/>
        </w:rPr>
        <w:outlineLvl w:val="9"/>
      </w:pPr>
      <w:r>
        <w:rPr>
          <w:rFonts w:hint="eastAsia" w:hAnsi="宋体"/>
          <w:b/>
          <w:sz w:val="32"/>
          <w:szCs w:val="32"/>
        </w:rPr>
      </w:r>
      <w:r/>
    </w:p>
    <w:p>
      <w:pPr>
        <w:pStyle w:val="916"/>
        <w:ind w:firstLine="2875"/>
        <w:keepLines w:val="0"/>
        <w:keepNext w:val="0"/>
        <w:pageBreakBefore w:val="0"/>
        <w:rPr>
          <w:rFonts w:hint="eastAsia" w:hAnsi="宋体"/>
          <w:b/>
          <w:sz w:val="32"/>
          <w:szCs w:val="32"/>
        </w:rPr>
        <w:outlineLvl w:val="9"/>
      </w:pPr>
      <w:r>
        <w:rPr>
          <w:rFonts w:hint="eastAsia" w:hAnsi="宋体"/>
          <w:b/>
          <w:sz w:val="32"/>
          <w:szCs w:val="32"/>
        </w:rPr>
      </w:r>
      <w:r/>
    </w:p>
    <w:p>
      <w:pPr>
        <w:pStyle w:val="916"/>
        <w:ind w:firstLine="2875"/>
        <w:keepLines w:val="0"/>
        <w:keepNext w:val="0"/>
        <w:pageBreakBefore w:val="0"/>
        <w:rPr>
          <w:rFonts w:hint="eastAsia" w:hAnsi="宋体"/>
          <w:b/>
          <w:sz w:val="32"/>
          <w:szCs w:val="32"/>
        </w:rPr>
        <w:outlineLvl w:val="9"/>
      </w:pPr>
      <w:r>
        <w:rPr>
          <w:rFonts w:hint="eastAsia" w:hAnsi="宋体"/>
          <w:b/>
          <w:sz w:val="32"/>
          <w:szCs w:val="32"/>
        </w:rPr>
      </w:r>
      <w:r/>
    </w:p>
    <w:p>
      <w:pPr>
        <w:pStyle w:val="916"/>
        <w:ind w:firstLine="2875"/>
        <w:keepLines w:val="0"/>
        <w:keepNext w:val="0"/>
        <w:pageBreakBefore w:val="0"/>
        <w:rPr>
          <w:rFonts w:hint="eastAsia" w:hAnsi="宋体"/>
          <w:b/>
          <w:bCs/>
          <w:sz w:val="32"/>
          <w:szCs w:val="32"/>
        </w:rPr>
        <w:outlineLvl w:val="9"/>
      </w:pPr>
      <w:r>
        <w:rPr>
          <w:rFonts w:hint="eastAsia" w:hAnsi="宋体"/>
          <w:b/>
          <w:sz w:val="32"/>
          <w:szCs w:val="32"/>
        </w:rPr>
      </w:r>
      <w:r>
        <w:rPr>
          <w:rFonts w:hint="eastAsia" w:hAnsi="宋体"/>
          <w:b/>
          <w:sz w:val="32"/>
          <w:szCs w:val="32"/>
        </w:rPr>
      </w:r>
      <w:r/>
    </w:p>
    <w:p>
      <w:pPr>
        <w:pStyle w:val="916"/>
        <w:ind w:firstLine="2875"/>
        <w:keepLines w:val="0"/>
        <w:keepNext w:val="0"/>
        <w:pageBreakBefore w:val="0"/>
        <w:rPr>
          <w:rFonts w:hint="eastAsia" w:hAnsi="宋体"/>
          <w:b/>
          <w:bCs/>
          <w:sz w:val="32"/>
          <w:szCs w:val="32"/>
        </w:rPr>
        <w:outlineLvl w:val="9"/>
      </w:pPr>
      <w:r>
        <w:rPr>
          <w:rFonts w:hint="eastAsia" w:hAnsi="宋体"/>
          <w:b/>
          <w:bCs/>
          <w:sz w:val="32"/>
          <w:szCs w:val="32"/>
        </w:rPr>
      </w:r>
      <w:r>
        <w:rPr>
          <w:rFonts w:hint="eastAsia" w:hAnsi="宋体"/>
          <w:b/>
          <w:bCs/>
          <w:sz w:val="32"/>
          <w:szCs w:val="32"/>
        </w:rPr>
      </w:r>
      <w:r/>
    </w:p>
    <w:p>
      <w:pPr>
        <w:pStyle w:val="916"/>
        <w:ind w:firstLine="2875"/>
        <w:keepLines w:val="0"/>
        <w:keepNext w:val="0"/>
        <w:pageBreakBefore w:val="0"/>
        <w:rPr>
          <w:rFonts w:hint="eastAsia" w:hAnsi="宋体"/>
          <w:b/>
          <w:bCs/>
          <w:sz w:val="32"/>
          <w:szCs w:val="32"/>
        </w:rPr>
        <w:outlineLvl w:val="9"/>
      </w:pPr>
      <w:r>
        <w:rPr>
          <w:rFonts w:hint="eastAsia" w:hAnsi="宋体"/>
          <w:b/>
          <w:sz w:val="32"/>
          <w:szCs w:val="32"/>
        </w:rPr>
      </w:r>
      <w:r/>
    </w:p>
    <w:p>
      <w:pPr>
        <w:pStyle w:val="916"/>
        <w:ind w:firstLine="2875"/>
        <w:keepLines w:val="0"/>
        <w:keepNext w:val="0"/>
        <w:pageBreakBefore w:val="0"/>
        <w:rPr>
          <w:rFonts w:hint="eastAsia" w:hAnsi="宋体"/>
          <w:b/>
          <w:sz w:val="32"/>
          <w:szCs w:val="32"/>
        </w:rPr>
        <w:outlineLvl w:val="9"/>
      </w:pPr>
      <w:r>
        <w:rPr>
          <w:rFonts w:hint="eastAsia" w:hAnsi="宋体"/>
          <w:b/>
          <w:sz w:val="32"/>
          <w:szCs w:val="32"/>
        </w:rPr>
      </w:r>
      <w:r/>
    </w:p>
    <w:p>
      <w:pPr>
        <w:pStyle w:val="916"/>
        <w:ind w:firstLine="2875"/>
        <w:keepLines w:val="0"/>
        <w:keepNext w:val="0"/>
        <w:pageBreakBefore w:val="0"/>
        <w:rPr>
          <w:rFonts w:hint="eastAsia" w:hAnsi="宋体"/>
          <w:b/>
          <w:sz w:val="32"/>
          <w:szCs w:val="32"/>
        </w:rPr>
        <w:outlineLvl w:val="9"/>
      </w:pPr>
      <w:r>
        <w:rPr>
          <w:rFonts w:hint="eastAsia" w:hAnsi="宋体"/>
          <w:b/>
          <w:sz w:val="32"/>
          <w:szCs w:val="32"/>
        </w:rPr>
      </w:r>
      <w:r/>
    </w:p>
    <w:p>
      <w:pPr>
        <w:pStyle w:val="916"/>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t xml:space="preserve">三、投标报价明细表</w:t>
      </w:r>
      <w:r>
        <w:rPr>
          <w:rFonts w:hint="eastAsia" w:ascii="仿宋" w:hAnsi="仿宋" w:eastAsia="仿宋"/>
          <w:b/>
          <w:sz w:val="32"/>
          <w:szCs w:val="32"/>
        </w:rPr>
      </w:r>
      <w:r/>
    </w:p>
    <w:p>
      <w:pPr>
        <w:pStyle w:val="916"/>
        <w:jc w:val="center"/>
        <w:keepLines w:val="0"/>
        <w:keepNext w:val="0"/>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tbl>
      <w:tblPr>
        <w:tblW w:w="918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280"/>
        <w:gridCol w:w="825"/>
        <w:gridCol w:w="1290"/>
        <w:gridCol w:w="1283"/>
        <w:gridCol w:w="992"/>
        <w:gridCol w:w="850"/>
        <w:gridCol w:w="851"/>
        <w:gridCol w:w="850"/>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序号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产品名称</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5"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品牌</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规格型号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val="false"/>
          </w:tcPr>
          <w:p>
            <w:pPr>
              <w:pStyle w:val="916"/>
              <w:jc w:val="center"/>
              <w:keepLines w:val="0"/>
              <w:keepNext w:val="0"/>
              <w:pageBreakBefore w:val="0"/>
              <w:spacing w:line="340" w:lineRule="exact"/>
              <w:rPr>
                <w:rFonts w:hint="eastAsia" w:ascii="仿宋" w:hAnsi="仿宋" w:eastAsia="仿宋"/>
                <w:sz w:val="24"/>
                <w:szCs w:val="24"/>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lang w:val="en-US" w:eastAsia="zh-CN"/>
              </w:rPr>
              <w:t xml:space="preserve">生产厂家</w:t>
            </w:r>
            <w:r>
              <w:rPr>
                <w:rFonts w:hint="eastAsia" w:ascii="仿宋" w:hAnsi="仿宋" w:eastAsia="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交付期</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数量</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分项单价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分项总价</w:t>
            </w:r>
            <w:r>
              <w:rPr>
                <w:rFonts w:ascii="仿宋" w:hAnsi="仿宋" w:eastAsia="仿宋"/>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1</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5"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2</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5"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7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3</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5"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4</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5"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5</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5"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6</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5"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7</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5"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8</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5"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9</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5"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5"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1030"/>
        </w:trPr>
        <w:tc>
          <w:tcPr>
            <w:gridSpan w:val="8"/>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30" w:type="dxa"/>
            <w:vAlign w:val="center"/>
            <w:textDirection w:val="lrTb"/>
            <w:noWrap w:val="false"/>
          </w:tcPr>
          <w:p>
            <w:pPr>
              <w:pStyle w:val="916"/>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投标总报价（人民币：元）</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top"/>
            <w:textDirection w:val="lrTb"/>
            <w:noWrap w:val="false"/>
          </w:tcPr>
          <w:p>
            <w:pPr>
              <w:pStyle w:val="916"/>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bl>
    <w:p>
      <w:pPr>
        <w:pStyle w:val="916"/>
        <w:ind w:firstLine="41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r>
      <w:r/>
    </w:p>
    <w:p>
      <w:pPr>
        <w:pStyle w:val="916"/>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rPr>
      </w:r>
      <w:r/>
    </w:p>
    <w:p>
      <w:pPr>
        <w:pStyle w:val="916"/>
        <w:ind w:firstLine="69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2</w:t>
      </w:r>
      <w:r>
        <w:rPr>
          <w:rFonts w:hint="eastAsia" w:ascii="仿宋" w:hAnsi="仿宋" w:eastAsia="仿宋"/>
          <w:sz w:val="28"/>
          <w:szCs w:val="24"/>
        </w:rPr>
        <w:t xml:space="preserve">、</w:t>
      </w:r>
      <w:r>
        <w:rPr>
          <w:rFonts w:ascii="仿宋" w:hAnsi="仿宋" w:eastAsia="仿宋"/>
          <w:sz w:val="28"/>
          <w:szCs w:val="24"/>
        </w:rPr>
        <w:t xml:space="preserve">“投标分项报价表”中“投标总报价”数额应当与“开标一览表”中“投标总报价”数额一致。</w:t>
      </w:r>
      <w:r>
        <w:rPr>
          <w:rFonts w:ascii="仿宋" w:hAnsi="仿宋" w:eastAsia="仿宋"/>
          <w:sz w:val="28"/>
          <w:szCs w:val="24"/>
        </w:rPr>
      </w:r>
      <w:r/>
    </w:p>
    <w:p>
      <w:pPr>
        <w:pStyle w:val="916"/>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 </w:t>
      </w:r>
      <w:r>
        <w:rPr>
          <w:rFonts w:ascii="仿宋" w:hAnsi="仿宋" w:eastAsia="仿宋"/>
          <w:sz w:val="28"/>
          <w:szCs w:val="24"/>
        </w:rPr>
      </w:r>
      <w:r/>
    </w:p>
    <w:p>
      <w:pPr>
        <w:pStyle w:val="916"/>
        <w:ind w:firstLine="411"/>
        <w:keepLines w:val="0"/>
        <w:keepNext w:val="0"/>
        <w:pageBreakBefore w:val="0"/>
        <w:spacing w:line="440" w:lineRule="exact"/>
        <w:rPr>
          <w:rFonts w:ascii="仿宋" w:hAnsi="仿宋" w:eastAsia="仿宋"/>
          <w:sz w:val="28"/>
          <w:szCs w:val="28"/>
          <w:highlight w:val="none"/>
        </w:rPr>
        <w:outlineLvl w:val="9"/>
      </w:pPr>
      <w:r>
        <w:rPr>
          <w:rFonts w:ascii="仿宋" w:hAnsi="仿宋" w:eastAsia="仿宋"/>
          <w:sz w:val="28"/>
          <w:szCs w:val="24"/>
        </w:rPr>
        <w:t xml:space="preserve"> </w:t>
      </w:r>
      <w:r>
        <w:rPr>
          <w:rFonts w:ascii="仿宋" w:hAnsi="仿宋" w:eastAsia="仿宋"/>
          <w:sz w:val="28"/>
          <w:szCs w:val="24"/>
        </w:rPr>
      </w:r>
      <w:r/>
    </w:p>
    <w:p>
      <w:pPr>
        <w:pStyle w:val="916"/>
        <w:ind w:firstLine="411"/>
        <w:keepLines w:val="0"/>
        <w:keepNext w:val="0"/>
        <w:pageBreakBefore w:val="0"/>
        <w:spacing w:line="440" w:lineRule="exact"/>
        <w:rPr>
          <w:rFonts w:ascii="仿宋" w:hAnsi="仿宋" w:eastAsia="仿宋"/>
          <w:sz w:val="28"/>
          <w:szCs w:val="28"/>
        </w:rPr>
        <w:outlineLvl w:val="9"/>
      </w:pPr>
      <w:r>
        <w:rPr>
          <w:rFonts w:ascii="仿宋" w:hAnsi="仿宋" w:eastAsia="仿宋"/>
          <w:sz w:val="28"/>
          <w:szCs w:val="28"/>
        </w:rPr>
      </w:r>
      <w:r>
        <w:rPr>
          <w:rFonts w:ascii="仿宋" w:hAnsi="仿宋" w:eastAsia="仿宋"/>
          <w:sz w:val="28"/>
          <w:szCs w:val="28"/>
        </w:rPr>
      </w:r>
      <w:r/>
    </w:p>
    <w:p>
      <w:pPr>
        <w:pStyle w:val="916"/>
        <w:ind w:firstLine="411"/>
        <w:keepLines w:val="0"/>
        <w:keepNext w:val="0"/>
        <w:pageBreakBefore w:val="0"/>
        <w:spacing w:line="440" w:lineRule="exact"/>
        <w:rPr>
          <w:rFonts w:ascii="仿宋" w:hAnsi="仿宋" w:eastAsia="仿宋"/>
          <w:sz w:val="28"/>
          <w:szCs w:val="28"/>
        </w:rPr>
        <w:outlineLvl w:val="9"/>
      </w:pPr>
      <w:r>
        <w:rPr>
          <w:rFonts w:ascii="仿宋" w:hAnsi="仿宋" w:eastAsia="仿宋"/>
          <w:sz w:val="28"/>
          <w:szCs w:val="24"/>
          <w:highlight w:val="none"/>
        </w:rPr>
      </w:r>
      <w:r>
        <w:rPr>
          <w:rFonts w:ascii="仿宋" w:hAnsi="仿宋" w:eastAsia="仿宋"/>
          <w:sz w:val="28"/>
          <w:szCs w:val="24"/>
          <w:highlight w:val="none"/>
        </w:rPr>
      </w:r>
      <w:r/>
    </w:p>
    <w:p>
      <w:pPr>
        <w:pStyle w:val="916"/>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项目采购需求中主要技术</w:t>
            </w:r>
            <w:r>
              <w:rPr>
                <w:rFonts w:hint="eastAsia" w:ascii="仿宋" w:hAnsi="仿宋" w:eastAsia="仿宋" w:cs="Arial"/>
                <w:sz w:val="24"/>
              </w:rPr>
            </w:r>
            <w:r/>
          </w:p>
          <w:p>
            <w:pPr>
              <w:pStyle w:val="89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所投产品规格、型号及相应技术参数描述</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5"/>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pStyle w:val="895"/>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895"/>
        <w:ind w:firstLine="420"/>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仿宋" w:hAnsi="仿宋" w:eastAsia="仿宋"/>
          <w:sz w:val="28"/>
          <w:szCs w:val="28"/>
        </w:rPr>
      </w:r>
      <w:r/>
    </w:p>
    <w:p>
      <w:pPr>
        <w:pStyle w:val="895"/>
        <w:ind w:firstLine="480"/>
        <w:keepLines w:val="0"/>
        <w:keepNext w:val="0"/>
        <w:pageBreakBefore w:val="0"/>
        <w:spacing w:line="440" w:lineRule="exact"/>
        <w:rPr>
          <w:rFonts w:hint="eastAsia" w:ascii="宋体" w:hAnsi="宋体"/>
          <w:bCs/>
          <w:sz w:val="32"/>
        </w:rPr>
        <w:outlineLvl w:val="9"/>
      </w:pPr>
      <w:r>
        <w:rPr>
          <w:rFonts w:hint="eastAsia" w:ascii="宋体" w:hAnsi="宋体"/>
          <w:bCs/>
          <w:sz w:val="32"/>
        </w:rPr>
      </w:r>
      <w:r/>
    </w:p>
    <w:p>
      <w:pPr>
        <w:pStyle w:val="914"/>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914"/>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914"/>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914"/>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914"/>
        <w:ind w:left="0" w:right="34" w:firstLine="2715"/>
        <w:keepLines w:val="0"/>
        <w:keepNext w:val="0"/>
        <w:pageBreakBefore w:val="0"/>
        <w:spacing w:before="120" w:line="520" w:lineRule="exact"/>
        <w:rPr>
          <w:rFonts w:hint="eastAsia" w:ascii="宋体" w:hAnsi="宋体"/>
          <w:b/>
          <w:sz w:val="32"/>
          <w:szCs w:val="32"/>
        </w:rPr>
        <w:outlineLvl w:val="9"/>
      </w:pPr>
      <w:r>
        <w:rPr>
          <w:rFonts w:hint="eastAsia" w:ascii="宋体" w:hAnsi="宋体"/>
          <w:b/>
          <w:sz w:val="32"/>
          <w:szCs w:val="32"/>
        </w:rPr>
      </w:r>
      <w:r/>
    </w:p>
    <w:p>
      <w:pPr>
        <w:pStyle w:val="916"/>
        <w:ind w:firstLine="948"/>
        <w:keepLines w:val="0"/>
        <w:keepNext w:val="0"/>
        <w:pageBreakBefore w:val="0"/>
        <w:spacing w:line="520" w:lineRule="exact"/>
        <w:rPr>
          <w:rFonts w:hint="eastAsia" w:ascii="仿宋" w:hAnsi="仿宋" w:eastAsia="仿宋"/>
          <w:b/>
          <w:bCs/>
          <w:sz w:val="32"/>
          <w:szCs w:val="32"/>
        </w:rPr>
        <w:outlineLvl w:val="9"/>
      </w:pPr>
      <w:r/>
      <w:bookmarkEnd w:id="39"/>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916"/>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895"/>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95"/>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95"/>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895"/>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895"/>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895"/>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89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895"/>
        <w:ind w:firstLine="157"/>
        <w:keepLines w:val="0"/>
        <w:keepNext w:val="0"/>
        <w:pageBreakBefore w:val="0"/>
        <w:spacing w:line="440" w:lineRule="exact"/>
        <w:rPr>
          <w:rFonts w:hint="eastAsia" w:ascii="宋体" w:hAnsi="宋体"/>
          <w:b/>
          <w:bCs/>
          <w:sz w:val="32"/>
          <w:szCs w:val="32"/>
        </w:rPr>
        <w:outlineLvl w:val="9"/>
      </w:pPr>
      <w:r>
        <w:rPr>
          <w:rFonts w:hint="eastAsia" w:ascii="宋体" w:hAnsi="宋体"/>
          <w:b/>
          <w:bCs/>
          <w:sz w:val="32"/>
          <w:szCs w:val="32"/>
        </w:rPr>
      </w:r>
      <w:r/>
    </w:p>
    <w:p>
      <w:pPr>
        <w:pStyle w:val="895"/>
        <w:jc w:val="left"/>
        <w:keepLines w:val="0"/>
        <w:keepNext w:val="0"/>
        <w:pageBreakBefore w:val="0"/>
        <w:widowControl/>
        <w:rPr>
          <w:rFonts w:hint="eastAsia" w:ascii="宋体" w:hAnsi="宋体" w:cs="Arial"/>
          <w:b/>
          <w:bCs/>
          <w:sz w:val="32"/>
        </w:rPr>
        <w:outlineLvl w:val="9"/>
      </w:pPr>
      <w:r>
        <w:rPr>
          <w:rFonts w:hint="eastAsia" w:ascii="宋体" w:hAnsi="宋体" w:cs="Arial"/>
          <w:b/>
          <w:bCs/>
          <w:sz w:val="32"/>
        </w:rPr>
      </w:r>
      <w:r/>
    </w:p>
    <w:p>
      <w:pPr>
        <w:pStyle w:val="895"/>
        <w:ind w:firstLine="1428"/>
        <w:jc w:val="left"/>
        <w:keepLines w:val="0"/>
        <w:keepNext w:val="0"/>
        <w:pageBreakBefore w:val="0"/>
        <w:spacing w:line="520" w:lineRule="exact"/>
        <w:widowControl/>
        <w:rPr>
          <w:rFonts w:hint="eastAsia" w:ascii="仿宋" w:hAnsi="仿宋" w:eastAsia="仿宋" w:cs="Arial"/>
          <w:b/>
          <w:bCs/>
          <w:sz w:val="32"/>
        </w:rPr>
        <w:outlineLvl w:val="9"/>
      </w:pPr>
      <w:r>
        <w:rPr>
          <w:rFonts w:ascii="宋体" w:hAnsi="宋体"/>
          <w:b/>
          <w:sz w:val="36"/>
        </w:rPr>
        <w:br w:type="page" w:clear="all"/>
      </w:r>
      <w:bookmarkStart w:id="40" w:name="_Toc157775454"/>
      <w:r>
        <w:rPr>
          <w:rFonts w:hint="eastAsia" w:ascii="仿宋" w:hAnsi="仿宋" w:eastAsia="仿宋" w:cs="Arial"/>
          <w:b/>
          <w:bCs/>
          <w:sz w:val="32"/>
        </w:rPr>
        <w:t xml:space="preserve">六、综合评分时投标人需提供的证明文件</w:t>
      </w:r>
      <w:r>
        <w:rPr>
          <w:rFonts w:hint="eastAsia" w:ascii="仿宋" w:hAnsi="仿宋" w:eastAsia="仿宋" w:cs="Arial"/>
          <w:b/>
          <w:bCs/>
          <w:sz w:val="32"/>
        </w:rPr>
      </w:r>
      <w:r/>
    </w:p>
    <w:p>
      <w:pPr>
        <w:pStyle w:val="895"/>
        <w:ind w:firstLine="840"/>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（供应商根据第三章评标标准的要求提供相关材料）</w:t>
      </w:r>
      <w:r>
        <w:rPr>
          <w:rFonts w:hint="eastAsia" w:ascii="仿宋" w:hAnsi="仿宋" w:eastAsia="仿宋" w:cs="楷体_GB2312"/>
          <w:sz w:val="28"/>
          <w:szCs w:val="28"/>
          <w:lang w:val="zh-CN"/>
        </w:rPr>
      </w:r>
      <w:r/>
    </w:p>
    <w:p>
      <w:pPr>
        <w:pStyle w:val="895"/>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95"/>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95"/>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95"/>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95"/>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95"/>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95"/>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95"/>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95"/>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95"/>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95"/>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95"/>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95"/>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95"/>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95"/>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95"/>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95"/>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95"/>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95"/>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95"/>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95"/>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95"/>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95"/>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95"/>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95"/>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95"/>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95"/>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95"/>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95"/>
        <w:ind w:firstLine="2877"/>
        <w:keepLines w:val="0"/>
        <w:keepNext w:val="0"/>
        <w:pageBreakBefore w:val="0"/>
        <w:spacing w:line="440" w:lineRule="exact"/>
        <w:rPr>
          <w:rFonts w:hint="eastAsia" w:ascii="宋体" w:hAnsi="宋体"/>
          <w:b/>
          <w:sz w:val="36"/>
        </w:rPr>
        <w:outlineLvl w:val="9"/>
      </w:pPr>
      <w:r>
        <w:rPr>
          <w:rFonts w:hint="eastAsia" w:ascii="宋体" w:hAnsi="宋体"/>
          <w:b/>
          <w:sz w:val="36"/>
        </w:rPr>
      </w:r>
      <w:r/>
    </w:p>
    <w:p>
      <w:pPr>
        <w:pStyle w:val="895"/>
        <w:ind w:firstLine="2557"/>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七、示范格式</w:t>
      </w:r>
      <w:r>
        <w:rPr>
          <w:rFonts w:hint="eastAsia" w:ascii="仿宋" w:hAnsi="仿宋" w:eastAsia="仿宋"/>
          <w:b/>
          <w:sz w:val="32"/>
          <w:szCs w:val="32"/>
        </w:rPr>
      </w:r>
      <w:r/>
    </w:p>
    <w:p>
      <w:pPr>
        <w:pStyle w:val="895"/>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895"/>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895"/>
        <w:ind w:firstLine="2891"/>
        <w:keepLines w:val="0"/>
        <w:keepNext w:val="0"/>
        <w:pageBreakBefore w:val="0"/>
        <w:spacing w:line="640" w:lineRule="exact"/>
        <w:rPr>
          <w:rFonts w:ascii="仿宋" w:hAnsi="仿宋" w:eastAsia="仿宋" w:cs="楷体_GB2312"/>
          <w:b/>
          <w:bCs/>
          <w:sz w:val="32"/>
          <w:szCs w:val="32"/>
          <w:lang w:val="zh-CN"/>
        </w:rPr>
        <w:outlineLvl w:val="9"/>
      </w:pPr>
      <w:r/>
      <w:bookmarkEnd w:id="40"/>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895"/>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895"/>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895"/>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895"/>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895"/>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895"/>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895"/>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895"/>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895"/>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895"/>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67"/>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895"/>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895"/>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Cs/>
          <w:color w:val="000000"/>
          <w:sz w:val="28"/>
          <w:szCs w:val="28"/>
        </w:rPr>
      </w:r>
      <w:r/>
    </w:p>
    <w:p>
      <w:pPr>
        <w:pStyle w:val="895"/>
        <w:ind w:left="-359" w:firstLine="357"/>
        <w:keepLines w:val="0"/>
        <w:keepNext w:val="0"/>
        <w:pageBreakBefore w:val="0"/>
        <w:spacing w:line="640" w:lineRule="exact"/>
        <w:rPr>
          <w:rFonts w:hint="eastAsia" w:ascii="仿宋" w:hAnsi="仿宋" w:eastAsia="仿宋"/>
          <w:b/>
          <w:sz w:val="32"/>
        </w:rPr>
        <w:outlineLvl w:val="9"/>
      </w:pPr>
      <w:r>
        <w:rPr>
          <w:rFonts w:hint="eastAsia" w:ascii="仿宋" w:hAnsi="仿宋" w:eastAsia="仿宋"/>
          <w:b/>
          <w:sz w:val="32"/>
        </w:rPr>
      </w:r>
      <w:r/>
    </w:p>
    <w:p>
      <w:pPr>
        <w:pStyle w:val="895"/>
        <w:ind w:left="-359" w:firstLine="357"/>
        <w:keepLines w:val="0"/>
        <w:keepNext w:val="0"/>
        <w:pageBreakBefore w:val="0"/>
        <w:spacing w:line="640" w:lineRule="exact"/>
        <w:rPr>
          <w:rFonts w:hint="eastAsia" w:ascii="仿宋" w:hAnsi="仿宋" w:eastAsia="仿宋"/>
          <w:b/>
          <w:sz w:val="32"/>
        </w:rPr>
        <w:outlineLvl w:val="9"/>
      </w:pPr>
      <w:r>
        <w:rPr>
          <w:rFonts w:hint="eastAsia" w:ascii="仿宋" w:hAnsi="仿宋" w:eastAsia="仿宋"/>
          <w:b/>
          <w:sz w:val="32"/>
        </w:rPr>
      </w:r>
      <w:r/>
    </w:p>
    <w:p>
      <w:pPr>
        <w:pStyle w:val="895"/>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895"/>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895"/>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895"/>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895"/>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5"/>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95"/>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895"/>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5"/>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5"/>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895"/>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895"/>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895"/>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895"/>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895"/>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95"/>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95"/>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895"/>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color w:val="000000"/>
          <w:sz w:val="28"/>
          <w:szCs w:val="28"/>
        </w:rPr>
      </w:r>
      <w:r/>
    </w:p>
    <w:p>
      <w:pPr>
        <w:pStyle w:val="895"/>
        <w:ind w:left="-359" w:firstLine="357"/>
        <w:keepLines w:val="0"/>
        <w:keepNext w:val="0"/>
        <w:pageBreakBefore w:val="0"/>
        <w:spacing w:line="640" w:lineRule="exact"/>
        <w:rPr>
          <w:rFonts w:hint="eastAsia" w:ascii="仿宋" w:hAnsi="仿宋" w:eastAsia="仿宋"/>
          <w:b/>
          <w:sz w:val="32"/>
        </w:rPr>
        <w:outlineLvl w:val="9"/>
      </w:pPr>
      <w:r>
        <w:rPr>
          <w:rFonts w:hint="eastAsia" w:ascii="仿宋" w:hAnsi="仿宋" w:eastAsia="仿宋"/>
          <w:b/>
          <w:sz w:val="32"/>
        </w:rPr>
      </w:r>
      <w:r/>
    </w:p>
    <w:p>
      <w:pPr>
        <w:pStyle w:val="895"/>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95"/>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95"/>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t xml:space="preserve">示范格式三</w:t>
      </w:r>
      <w:r>
        <w:rPr>
          <w:rFonts w:hint="eastAsia" w:ascii="仿宋" w:hAnsi="仿宋" w:eastAsia="仿宋"/>
          <w:b/>
          <w:sz w:val="32"/>
          <w:szCs w:val="32"/>
        </w:rPr>
      </w:r>
      <w:r/>
    </w:p>
    <w:p>
      <w:pPr>
        <w:pStyle w:val="895"/>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95"/>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符合《政府采购法》第二十二条规定条件的声明函</w:t>
      </w:r>
      <w:r>
        <w:rPr>
          <w:rFonts w:hint="eastAsia" w:ascii="仿宋" w:hAnsi="仿宋" w:eastAsia="仿宋"/>
          <w:b/>
          <w:bCs/>
          <w:sz w:val="32"/>
        </w:rPr>
      </w:r>
      <w:r/>
    </w:p>
    <w:p>
      <w:pPr>
        <w:pStyle w:val="903"/>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95"/>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895"/>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895"/>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895"/>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895"/>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895"/>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895"/>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895"/>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95"/>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95"/>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95"/>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95"/>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95"/>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95"/>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95"/>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95"/>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95"/>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95"/>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95"/>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95"/>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95"/>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895"/>
        <w:numPr>
          <w:ilvl w:val="0"/>
          <w:numId w:val="0"/>
        </w:numPr>
        <w:jc w:val="center"/>
        <w:keepLines w:val="0"/>
        <w:keepNext w:val="0"/>
        <w:pageBreakBefore w:val="0"/>
        <w:rPr>
          <w:rFonts w:hint="eastAsia" w:ascii="仿宋" w:hAnsi="仿宋" w:eastAsia="仿宋"/>
          <w:b/>
          <w:bCs/>
          <w:sz w:val="32"/>
          <w:szCs w:val="32"/>
        </w:rPr>
        <w:outlineLvl w:val="9"/>
      </w:pPr>
      <w:r>
        <w:rPr>
          <w:rFonts w:hint="eastAsia" w:ascii="仿宋" w:hAnsi="仿宋" w:eastAsia="仿宋"/>
          <w:b/>
          <w:bCs/>
          <w:sz w:val="32"/>
          <w:szCs w:val="32"/>
        </w:rPr>
        <w:t xml:space="preserve">企业声明函（货物类）</w:t>
      </w:r>
      <w:r>
        <w:rPr>
          <w:rFonts w:hint="eastAsia" w:ascii="仿宋" w:hAnsi="仿宋" w:eastAsia="仿宋"/>
          <w:b/>
          <w:bCs/>
          <w:sz w:val="32"/>
          <w:szCs w:val="32"/>
        </w:rPr>
      </w:r>
      <w:r/>
    </w:p>
    <w:p>
      <w:pPr>
        <w:pStyle w:val="903"/>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03"/>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rPr>
          <w:rFonts w:hint="eastAsia" w:ascii="仿宋" w:hAnsi="仿宋" w:eastAsia="仿宋"/>
          <w:bCs/>
          <w:color w:val="000000"/>
          <w:sz w:val="28"/>
          <w:szCs w:val="28"/>
        </w:rPr>
      </w:r>
      <w:r/>
    </w:p>
    <w:p>
      <w:pPr>
        <w:pStyle w:val="903"/>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903"/>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903"/>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903"/>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903"/>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895"/>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95"/>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03"/>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903"/>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895"/>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903"/>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03"/>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903"/>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903"/>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903"/>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903"/>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895"/>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95"/>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95"/>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35"/>
      </w:rPr>
      <w:framePr w:wrap="around" w:vAnchor="text" w:hAnchor="margin" w:xAlign="center" w:y="1"/>
    </w:pPr>
    <w:r>
      <w:fldChar w:fldCharType="begin"/>
    </w:r>
    <w:r>
      <w:rPr>
        <w:rStyle w:val="935"/>
      </w:rPr>
      <w:instrText xml:space="preserve">PAGE  </w:instrText>
    </w:r>
    <w:r>
      <w:fldChar w:fldCharType="separate"/>
    </w:r>
    <w:r>
      <w:rPr>
        <w:rStyle w:val="935"/>
      </w:rPr>
      <w:t xml:space="preserve">1</w:t>
    </w:r>
    <w:r>
      <w:fldChar w:fldCharType="end"/>
    </w:r>
    <w:r>
      <w:rPr>
        <w:rStyle w:val="935"/>
      </w:rPr>
    </w:r>
    <w:r/>
  </w:p>
  <w:p>
    <w:pPr>
      <w:pStyle w:val="92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35"/>
      </w:rPr>
      <w:framePr w:wrap="around" w:vAnchor="text" w:hAnchor="margin" w:xAlign="center" w:y="1"/>
    </w:pPr>
    <w:r>
      <w:fldChar w:fldCharType="begin"/>
    </w:r>
    <w:r>
      <w:rPr>
        <w:rStyle w:val="935"/>
      </w:rPr>
      <w:instrText xml:space="preserve">PAGE  </w:instrText>
    </w:r>
    <w:r>
      <w:fldChar w:fldCharType="end"/>
    </w:r>
    <w:r>
      <w:rPr>
        <w:rStyle w:val="935"/>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95"/>
        <w:ind w:left="360" w:hanging="360"/>
      </w:pPr>
    </w:lvl>
    <w:lvl w:ilvl="1">
      <w:start w:val="1"/>
      <w:numFmt w:val="lowerLetter"/>
      <w:isLgl w:val="false"/>
      <w:suff w:val="tab"/>
      <w:lvlText w:val="%2)"/>
      <w:lvlJc w:val="left"/>
      <w:pPr>
        <w:pStyle w:val="895"/>
        <w:ind w:left="840" w:hanging="420"/>
      </w:pPr>
    </w:lvl>
    <w:lvl w:ilvl="2">
      <w:start w:val="1"/>
      <w:numFmt w:val="lowerRoman"/>
      <w:isLgl w:val="false"/>
      <w:suff w:val="tab"/>
      <w:lvlText w:val="%3."/>
      <w:lvlJc w:val="right"/>
      <w:pPr>
        <w:pStyle w:val="895"/>
        <w:ind w:left="1260" w:hanging="420"/>
      </w:pPr>
    </w:lvl>
    <w:lvl w:ilvl="3">
      <w:start w:val="1"/>
      <w:numFmt w:val="decimal"/>
      <w:isLgl w:val="false"/>
      <w:suff w:val="tab"/>
      <w:lvlText w:val="%4."/>
      <w:lvlJc w:val="left"/>
      <w:pPr>
        <w:pStyle w:val="895"/>
        <w:ind w:left="1680" w:hanging="420"/>
      </w:pPr>
    </w:lvl>
    <w:lvl w:ilvl="4">
      <w:start w:val="1"/>
      <w:numFmt w:val="lowerLetter"/>
      <w:isLgl w:val="false"/>
      <w:suff w:val="tab"/>
      <w:lvlText w:val="%5)"/>
      <w:lvlJc w:val="left"/>
      <w:pPr>
        <w:pStyle w:val="895"/>
        <w:ind w:left="2100" w:hanging="420"/>
      </w:pPr>
    </w:lvl>
    <w:lvl w:ilvl="5">
      <w:start w:val="1"/>
      <w:numFmt w:val="lowerRoman"/>
      <w:isLgl w:val="false"/>
      <w:suff w:val="tab"/>
      <w:lvlText w:val="%6."/>
      <w:lvlJc w:val="right"/>
      <w:pPr>
        <w:pStyle w:val="895"/>
        <w:ind w:left="2520" w:hanging="420"/>
      </w:pPr>
    </w:lvl>
    <w:lvl w:ilvl="6">
      <w:start w:val="1"/>
      <w:numFmt w:val="decimal"/>
      <w:isLgl w:val="false"/>
      <w:suff w:val="tab"/>
      <w:lvlText w:val="%7."/>
      <w:lvlJc w:val="left"/>
      <w:pPr>
        <w:pStyle w:val="895"/>
        <w:ind w:left="2940" w:hanging="420"/>
      </w:pPr>
    </w:lvl>
    <w:lvl w:ilvl="7">
      <w:start w:val="1"/>
      <w:numFmt w:val="lowerLetter"/>
      <w:isLgl w:val="false"/>
      <w:suff w:val="tab"/>
      <w:lvlText w:val="%8)"/>
      <w:lvlJc w:val="left"/>
      <w:pPr>
        <w:pStyle w:val="895"/>
        <w:ind w:left="3360" w:hanging="420"/>
      </w:pPr>
    </w:lvl>
    <w:lvl w:ilvl="8">
      <w:start w:val="1"/>
      <w:numFmt w:val="lowerRoman"/>
      <w:isLgl w:val="false"/>
      <w:suff w:val="tab"/>
      <w:lvlText w:val="%9."/>
      <w:lvlJc w:val="right"/>
      <w:pPr>
        <w:pStyle w:val="895"/>
        <w:ind w:left="3780" w:hanging="420"/>
      </w:pPr>
    </w:lvl>
  </w:abstractNum>
  <w:abstractNum w:abstractNumId="2">
    <w:multiLevelType w:val="hybridMultilevel"/>
    <w:lvl w:ilvl="0">
      <w:start w:val="1"/>
      <w:numFmt w:val="decimal"/>
      <w:isLgl w:val="false"/>
      <w:suff w:val="tab"/>
      <w:lvlText w:val="%1、"/>
      <w:lvlJc w:val="left"/>
      <w:pPr>
        <w:pStyle w:val="895"/>
        <w:ind w:left="360" w:hanging="360"/>
      </w:pPr>
    </w:lvl>
    <w:lvl w:ilvl="1">
      <w:start w:val="1"/>
      <w:numFmt w:val="lowerLetter"/>
      <w:isLgl w:val="false"/>
      <w:suff w:val="tab"/>
      <w:lvlText w:val="%2)"/>
      <w:lvlJc w:val="left"/>
      <w:pPr>
        <w:pStyle w:val="895"/>
        <w:ind w:left="840" w:hanging="420"/>
      </w:pPr>
    </w:lvl>
    <w:lvl w:ilvl="2">
      <w:start w:val="1"/>
      <w:numFmt w:val="lowerRoman"/>
      <w:isLgl w:val="false"/>
      <w:suff w:val="tab"/>
      <w:lvlText w:val="%3."/>
      <w:lvlJc w:val="right"/>
      <w:pPr>
        <w:pStyle w:val="895"/>
        <w:ind w:left="1260" w:hanging="420"/>
      </w:pPr>
    </w:lvl>
    <w:lvl w:ilvl="3">
      <w:start w:val="1"/>
      <w:numFmt w:val="decimal"/>
      <w:isLgl w:val="false"/>
      <w:suff w:val="tab"/>
      <w:lvlText w:val="%4."/>
      <w:lvlJc w:val="left"/>
      <w:pPr>
        <w:pStyle w:val="895"/>
        <w:ind w:left="1680" w:hanging="420"/>
      </w:pPr>
    </w:lvl>
    <w:lvl w:ilvl="4">
      <w:start w:val="1"/>
      <w:numFmt w:val="lowerLetter"/>
      <w:isLgl w:val="false"/>
      <w:suff w:val="tab"/>
      <w:lvlText w:val="%5)"/>
      <w:lvlJc w:val="left"/>
      <w:pPr>
        <w:pStyle w:val="895"/>
        <w:ind w:left="2100" w:hanging="420"/>
      </w:pPr>
    </w:lvl>
    <w:lvl w:ilvl="5">
      <w:start w:val="1"/>
      <w:numFmt w:val="lowerRoman"/>
      <w:isLgl w:val="false"/>
      <w:suff w:val="tab"/>
      <w:lvlText w:val="%6."/>
      <w:lvlJc w:val="right"/>
      <w:pPr>
        <w:pStyle w:val="895"/>
        <w:ind w:left="2520" w:hanging="420"/>
      </w:pPr>
    </w:lvl>
    <w:lvl w:ilvl="6">
      <w:start w:val="1"/>
      <w:numFmt w:val="decimal"/>
      <w:isLgl w:val="false"/>
      <w:suff w:val="tab"/>
      <w:lvlText w:val="%7."/>
      <w:lvlJc w:val="left"/>
      <w:pPr>
        <w:pStyle w:val="895"/>
        <w:ind w:left="2940" w:hanging="420"/>
      </w:pPr>
    </w:lvl>
    <w:lvl w:ilvl="7">
      <w:start w:val="1"/>
      <w:numFmt w:val="lowerLetter"/>
      <w:isLgl w:val="false"/>
      <w:suff w:val="tab"/>
      <w:lvlText w:val="%8)"/>
      <w:lvlJc w:val="left"/>
      <w:pPr>
        <w:pStyle w:val="895"/>
        <w:ind w:left="3360" w:hanging="420"/>
      </w:pPr>
    </w:lvl>
    <w:lvl w:ilvl="8">
      <w:start w:val="1"/>
      <w:numFmt w:val="lowerRoman"/>
      <w:isLgl w:val="false"/>
      <w:suff w:val="tab"/>
      <w:lvlText w:val="%9."/>
      <w:lvlJc w:val="right"/>
      <w:pPr>
        <w:pStyle w:val="895"/>
        <w:ind w:left="3780" w:hanging="420"/>
      </w:pPr>
    </w:lvl>
  </w:abstractNum>
  <w:abstractNum w:abstractNumId="3">
    <w:multiLevelType w:val="hybridMultilevel"/>
    <w:lvl w:ilvl="0">
      <w:start w:val="4"/>
      <w:numFmt w:val="decimal"/>
      <w:isLgl w:val="false"/>
      <w:suff w:val="nothing"/>
      <w:lvlText w:val="%1、"/>
      <w:lvlJc w:val="left"/>
      <w:pPr>
        <w:pStyle w:val="895"/>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nothing"/>
      <w:lvlText w:val="%1、"/>
      <w:lvlJc w:val="left"/>
      <w:pPr>
        <w:pStyle w:val="89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978"/>
      <w:isLgl w:val="false"/>
      <w:suff w:val="nothing"/>
      <w:lvlText w:val="第%1章"/>
      <w:lvlJc w:val="left"/>
      <w:pPr>
        <w:pStyle w:val="895"/>
        <w:ind w:left="640" w:firstLine="0"/>
      </w:pPr>
      <w:rPr>
        <w:rFonts w:hint="eastAsia"/>
      </w:rPr>
    </w:lvl>
    <w:lvl w:ilvl="1">
      <w:start w:val="1"/>
      <w:numFmt w:val="decimal"/>
      <w:isLgl w:val="false"/>
      <w:suff w:val="nothing"/>
      <w:lvlText w:val=""/>
      <w:lvlJc w:val="left"/>
      <w:pPr>
        <w:pStyle w:val="895"/>
        <w:ind w:left="640" w:firstLine="0"/>
      </w:pPr>
      <w:rPr>
        <w:rFonts w:hint="eastAsia"/>
      </w:rPr>
    </w:lvl>
    <w:lvl w:ilvl="2">
      <w:start w:val="1"/>
      <w:numFmt w:val="decimal"/>
      <w:isLgl w:val="false"/>
      <w:suff w:val="nothing"/>
      <w:lvlText w:val=""/>
      <w:lvlJc w:val="left"/>
      <w:pPr>
        <w:pStyle w:val="895"/>
        <w:ind w:left="640" w:firstLine="0"/>
      </w:pPr>
      <w:rPr>
        <w:rFonts w:hint="eastAsia"/>
      </w:rPr>
    </w:lvl>
    <w:lvl w:ilvl="3">
      <w:start w:val="1"/>
      <w:numFmt w:val="decimal"/>
      <w:isLgl w:val="false"/>
      <w:suff w:val="nothing"/>
      <w:lvlText w:val=""/>
      <w:lvlJc w:val="left"/>
      <w:pPr>
        <w:pStyle w:val="895"/>
        <w:ind w:left="640" w:firstLine="0"/>
      </w:pPr>
      <w:rPr>
        <w:rFonts w:hint="eastAsia"/>
      </w:rPr>
    </w:lvl>
    <w:lvl w:ilvl="4">
      <w:start w:val="1"/>
      <w:numFmt w:val="decimal"/>
      <w:isLgl w:val="false"/>
      <w:suff w:val="nothing"/>
      <w:lvlText w:val=""/>
      <w:lvlJc w:val="left"/>
      <w:pPr>
        <w:pStyle w:val="895"/>
        <w:ind w:left="640" w:firstLine="0"/>
      </w:pPr>
      <w:rPr>
        <w:rFonts w:hint="eastAsia"/>
      </w:rPr>
    </w:lvl>
    <w:lvl w:ilvl="5">
      <w:start w:val="1"/>
      <w:numFmt w:val="decimal"/>
      <w:isLgl w:val="false"/>
      <w:suff w:val="nothing"/>
      <w:lvlText w:val=""/>
      <w:lvlJc w:val="left"/>
      <w:pPr>
        <w:pStyle w:val="895"/>
        <w:ind w:left="640" w:firstLine="0"/>
      </w:pPr>
      <w:rPr>
        <w:rFonts w:hint="eastAsia"/>
      </w:rPr>
    </w:lvl>
    <w:lvl w:ilvl="6">
      <w:start w:val="1"/>
      <w:numFmt w:val="decimal"/>
      <w:isLgl w:val="false"/>
      <w:suff w:val="nothing"/>
      <w:lvlText w:val=""/>
      <w:lvlJc w:val="left"/>
      <w:pPr>
        <w:pStyle w:val="895"/>
        <w:ind w:left="640" w:firstLine="0"/>
      </w:pPr>
      <w:rPr>
        <w:rFonts w:hint="eastAsia"/>
      </w:rPr>
    </w:lvl>
    <w:lvl w:ilvl="7">
      <w:start w:val="1"/>
      <w:numFmt w:val="decimal"/>
      <w:isLgl w:val="false"/>
      <w:suff w:val="nothing"/>
      <w:lvlText w:val=""/>
      <w:lvlJc w:val="left"/>
      <w:pPr>
        <w:pStyle w:val="895"/>
        <w:ind w:left="640" w:firstLine="0"/>
      </w:pPr>
      <w:rPr>
        <w:rFonts w:hint="eastAsia"/>
      </w:rPr>
    </w:lvl>
    <w:lvl w:ilvl="8">
      <w:start w:val="1"/>
      <w:numFmt w:val="decimal"/>
      <w:isLgl w:val="false"/>
      <w:suff w:val="nothing"/>
      <w:lvlText w:val=""/>
      <w:lvlJc w:val="left"/>
      <w:pPr>
        <w:pStyle w:val="895"/>
        <w:ind w:left="640" w:firstLine="0"/>
      </w:pPr>
      <w:rPr>
        <w:rFonts w:hint="eastAsia"/>
      </w:rPr>
    </w:lvl>
  </w:abstractNum>
  <w:abstractNum w:abstractNumId="7">
    <w:multiLevelType w:val="hybridMultilevel"/>
    <w:lvl w:ilvl="0">
      <w:start w:val="1"/>
      <w:numFmt w:val="decimal"/>
      <w:isLgl w:val="false"/>
      <w:suff w:val="nothing"/>
      <w:lvlText w:val="%1、"/>
      <w:lvlJc w:val="left"/>
      <w:pPr>
        <w:pStyle w:val="8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pStyle w:val="895"/>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8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pStyle w:val="968"/>
      <w:isLgl w:val="false"/>
      <w:suff w:val="tab"/>
      <w:lvlText w:val="%1、"/>
      <w:lvlJc w:val="left"/>
      <w:pPr>
        <w:pStyle w:val="895"/>
        <w:ind w:left="420" w:hanging="420"/>
        <w:tabs>
          <w:tab w:val="num" w:pos="420" w:leader="none"/>
        </w:tabs>
      </w:pPr>
      <w:rPr>
        <w:rFonts w:hint="eastAsia"/>
        <w:b/>
        <w:i w:val="0"/>
      </w:rPr>
    </w:lvl>
    <w:lvl w:ilvl="1">
      <w:start w:val="1"/>
      <w:numFmt w:val="lowerLetter"/>
      <w:isLgl w:val="false"/>
      <w:suff w:val="tab"/>
      <w:lvlText w:val="%2)"/>
      <w:lvlJc w:val="left"/>
      <w:pPr>
        <w:pStyle w:val="895"/>
        <w:ind w:left="840" w:hanging="420"/>
        <w:tabs>
          <w:tab w:val="num" w:pos="840" w:leader="none"/>
        </w:tabs>
      </w:pPr>
    </w:lvl>
    <w:lvl w:ilvl="2">
      <w:start w:val="1"/>
      <w:numFmt w:val="lowerRoman"/>
      <w:isLgl w:val="false"/>
      <w:suff w:val="tab"/>
      <w:lvlText w:val="%3."/>
      <w:lvlJc w:val="right"/>
      <w:pPr>
        <w:pStyle w:val="895"/>
        <w:ind w:left="1260" w:hanging="420"/>
        <w:tabs>
          <w:tab w:val="num" w:pos="1260" w:leader="none"/>
        </w:tabs>
      </w:pPr>
    </w:lvl>
    <w:lvl w:ilvl="3">
      <w:start w:val="1"/>
      <w:numFmt w:val="decimal"/>
      <w:isLgl w:val="false"/>
      <w:suff w:val="tab"/>
      <w:lvlText w:val="%4."/>
      <w:lvlJc w:val="left"/>
      <w:pPr>
        <w:pStyle w:val="895"/>
        <w:ind w:left="1680" w:hanging="420"/>
        <w:tabs>
          <w:tab w:val="num" w:pos="1680" w:leader="none"/>
        </w:tabs>
      </w:pPr>
    </w:lvl>
    <w:lvl w:ilvl="4">
      <w:start w:val="1"/>
      <w:numFmt w:val="lowerLetter"/>
      <w:isLgl w:val="false"/>
      <w:suff w:val="tab"/>
      <w:lvlText w:val="%5)"/>
      <w:lvlJc w:val="left"/>
      <w:pPr>
        <w:pStyle w:val="895"/>
        <w:ind w:left="2100" w:hanging="420"/>
        <w:tabs>
          <w:tab w:val="num" w:pos="2100" w:leader="none"/>
        </w:tabs>
      </w:pPr>
    </w:lvl>
    <w:lvl w:ilvl="5">
      <w:start w:val="1"/>
      <w:numFmt w:val="lowerRoman"/>
      <w:isLgl w:val="false"/>
      <w:suff w:val="tab"/>
      <w:lvlText w:val="%6."/>
      <w:lvlJc w:val="right"/>
      <w:pPr>
        <w:pStyle w:val="895"/>
        <w:ind w:left="2520" w:hanging="420"/>
        <w:tabs>
          <w:tab w:val="num" w:pos="2520" w:leader="none"/>
        </w:tabs>
      </w:pPr>
    </w:lvl>
    <w:lvl w:ilvl="6">
      <w:start w:val="1"/>
      <w:numFmt w:val="decimal"/>
      <w:isLgl w:val="false"/>
      <w:suff w:val="tab"/>
      <w:lvlText w:val="%7."/>
      <w:lvlJc w:val="left"/>
      <w:pPr>
        <w:pStyle w:val="895"/>
        <w:ind w:left="2940" w:hanging="420"/>
        <w:tabs>
          <w:tab w:val="num" w:pos="2940" w:leader="none"/>
        </w:tabs>
      </w:pPr>
    </w:lvl>
    <w:lvl w:ilvl="7">
      <w:start w:val="1"/>
      <w:numFmt w:val="lowerLetter"/>
      <w:isLgl w:val="false"/>
      <w:suff w:val="tab"/>
      <w:lvlText w:val="%8)"/>
      <w:lvlJc w:val="left"/>
      <w:pPr>
        <w:pStyle w:val="895"/>
        <w:ind w:left="3360" w:hanging="420"/>
        <w:tabs>
          <w:tab w:val="num" w:pos="3360" w:leader="none"/>
        </w:tabs>
      </w:pPr>
    </w:lvl>
    <w:lvl w:ilvl="8">
      <w:start w:val="1"/>
      <w:numFmt w:val="lowerRoman"/>
      <w:isLgl w:val="false"/>
      <w:suff w:val="tab"/>
      <w:lvlText w:val="%9."/>
      <w:lvlJc w:val="right"/>
      <w:pPr>
        <w:pStyle w:val="895"/>
        <w:ind w:left="3780" w:hanging="420"/>
        <w:tabs>
          <w:tab w:val="num" w:pos="3780" w:leader="none"/>
        </w:tabs>
      </w:pPr>
    </w:lvl>
  </w:abstractNum>
  <w:abstractNum w:abstractNumId="11">
    <w:multiLevelType w:val="hybridMultilevel"/>
    <w:lvl w:ilvl="0">
      <w:start w:val="2"/>
      <w:numFmt w:val="decimal"/>
      <w:isLgl w:val="false"/>
      <w:suff w:val="tab"/>
      <w:lvlText w:val="%1、"/>
      <w:lvlJc w:val="left"/>
      <w:pPr>
        <w:pStyle w:val="895"/>
        <w:ind w:left="360" w:hanging="360"/>
      </w:pPr>
    </w:lvl>
    <w:lvl w:ilvl="1">
      <w:start w:val="1"/>
      <w:numFmt w:val="lowerLetter"/>
      <w:isLgl w:val="false"/>
      <w:suff w:val="tab"/>
      <w:lvlText w:val="%2)"/>
      <w:lvlJc w:val="left"/>
      <w:pPr>
        <w:pStyle w:val="895"/>
        <w:ind w:left="840" w:hanging="420"/>
      </w:pPr>
    </w:lvl>
    <w:lvl w:ilvl="2">
      <w:start w:val="1"/>
      <w:numFmt w:val="lowerRoman"/>
      <w:isLgl w:val="false"/>
      <w:suff w:val="tab"/>
      <w:lvlText w:val="%3."/>
      <w:lvlJc w:val="right"/>
      <w:pPr>
        <w:pStyle w:val="895"/>
        <w:ind w:left="1260" w:hanging="420"/>
      </w:pPr>
    </w:lvl>
    <w:lvl w:ilvl="3">
      <w:start w:val="1"/>
      <w:numFmt w:val="decimal"/>
      <w:isLgl w:val="false"/>
      <w:suff w:val="tab"/>
      <w:lvlText w:val="%4."/>
      <w:lvlJc w:val="left"/>
      <w:pPr>
        <w:pStyle w:val="895"/>
        <w:ind w:left="1680" w:hanging="420"/>
      </w:pPr>
    </w:lvl>
    <w:lvl w:ilvl="4">
      <w:start w:val="1"/>
      <w:numFmt w:val="lowerLetter"/>
      <w:isLgl w:val="false"/>
      <w:suff w:val="tab"/>
      <w:lvlText w:val="%5)"/>
      <w:lvlJc w:val="left"/>
      <w:pPr>
        <w:pStyle w:val="895"/>
        <w:ind w:left="2100" w:hanging="420"/>
      </w:pPr>
    </w:lvl>
    <w:lvl w:ilvl="5">
      <w:start w:val="1"/>
      <w:numFmt w:val="lowerRoman"/>
      <w:isLgl w:val="false"/>
      <w:suff w:val="tab"/>
      <w:lvlText w:val="%6."/>
      <w:lvlJc w:val="right"/>
      <w:pPr>
        <w:pStyle w:val="895"/>
        <w:ind w:left="2520" w:hanging="420"/>
      </w:pPr>
    </w:lvl>
    <w:lvl w:ilvl="6">
      <w:start w:val="1"/>
      <w:numFmt w:val="decimal"/>
      <w:isLgl w:val="false"/>
      <w:suff w:val="tab"/>
      <w:lvlText w:val="%7."/>
      <w:lvlJc w:val="left"/>
      <w:pPr>
        <w:pStyle w:val="895"/>
        <w:ind w:left="2940" w:hanging="420"/>
      </w:pPr>
    </w:lvl>
    <w:lvl w:ilvl="7">
      <w:start w:val="1"/>
      <w:numFmt w:val="lowerLetter"/>
      <w:isLgl w:val="false"/>
      <w:suff w:val="tab"/>
      <w:lvlText w:val="%8)"/>
      <w:lvlJc w:val="left"/>
      <w:pPr>
        <w:pStyle w:val="895"/>
        <w:ind w:left="3360" w:hanging="420"/>
      </w:pPr>
    </w:lvl>
    <w:lvl w:ilvl="8">
      <w:start w:val="1"/>
      <w:numFmt w:val="lowerRoman"/>
      <w:isLgl w:val="false"/>
      <w:suff w:val="tab"/>
      <w:lvlText w:val="%9."/>
      <w:lvlJc w:val="right"/>
      <w:pPr>
        <w:pStyle w:val="895"/>
        <w:ind w:left="3780" w:hanging="420"/>
      </w:pPr>
    </w:lvl>
  </w:abstractNum>
  <w:abstractNum w:abstractNumId="12">
    <w:multiLevelType w:val="hybridMultilevel"/>
    <w:lvl w:ilvl="0">
      <w:start w:val="1"/>
      <w:numFmt w:val="decimal"/>
      <w:isLgl w:val="false"/>
      <w:suff w:val="tab"/>
      <w:lvlText w:val="%1."/>
      <w:lvlJc w:val="left"/>
      <w:pPr>
        <w:pStyle w:val="895"/>
        <w:ind w:left="420" w:hanging="420"/>
      </w:pPr>
    </w:lvl>
    <w:lvl w:ilvl="1">
      <w:start w:val="1"/>
      <w:numFmt w:val="lowerLetter"/>
      <w:isLgl w:val="false"/>
      <w:suff w:val="tab"/>
      <w:lvlText w:val="%2)"/>
      <w:lvlJc w:val="left"/>
      <w:pPr>
        <w:pStyle w:val="895"/>
        <w:ind w:left="840" w:hanging="420"/>
      </w:pPr>
    </w:lvl>
    <w:lvl w:ilvl="2">
      <w:start w:val="1"/>
      <w:numFmt w:val="lowerRoman"/>
      <w:isLgl w:val="false"/>
      <w:suff w:val="tab"/>
      <w:lvlText w:val="%3."/>
      <w:lvlJc w:val="right"/>
      <w:pPr>
        <w:pStyle w:val="895"/>
        <w:ind w:left="1260" w:hanging="420"/>
      </w:pPr>
    </w:lvl>
    <w:lvl w:ilvl="3">
      <w:start w:val="0"/>
      <w:numFmt w:val="bullet"/>
      <w:isLgl w:val="false"/>
      <w:suff w:val="tab"/>
      <w:lvlText w:val=""/>
      <w:lvlJc w:val="left"/>
      <w:pPr>
        <w:pStyle w:val="895"/>
        <w:ind w:left="1680" w:hanging="420"/>
      </w:pPr>
      <w:rPr>
        <w:rFonts w:ascii="Wingdings" w:hAnsi="Wingdings" w:eastAsia="宋体" w:cs="Times New Roman"/>
      </w:rPr>
    </w:lvl>
    <w:lvl w:ilvl="4">
      <w:start w:val="1"/>
      <w:numFmt w:val="lowerLetter"/>
      <w:isLgl w:val="false"/>
      <w:suff w:val="tab"/>
      <w:lvlText w:val="%5)"/>
      <w:lvlJc w:val="left"/>
      <w:pPr>
        <w:pStyle w:val="895"/>
        <w:ind w:left="2100" w:hanging="420"/>
      </w:pPr>
    </w:lvl>
    <w:lvl w:ilvl="5">
      <w:start w:val="1"/>
      <w:numFmt w:val="lowerRoman"/>
      <w:isLgl w:val="false"/>
      <w:suff w:val="tab"/>
      <w:lvlText w:val="%6."/>
      <w:lvlJc w:val="right"/>
      <w:pPr>
        <w:pStyle w:val="895"/>
        <w:ind w:left="2520" w:hanging="420"/>
      </w:pPr>
    </w:lvl>
    <w:lvl w:ilvl="6">
      <w:start w:val="1"/>
      <w:numFmt w:val="decimal"/>
      <w:isLgl w:val="false"/>
      <w:suff w:val="tab"/>
      <w:lvlText w:val="%7."/>
      <w:lvlJc w:val="left"/>
      <w:pPr>
        <w:pStyle w:val="895"/>
        <w:ind w:left="2940" w:hanging="420"/>
      </w:pPr>
    </w:lvl>
    <w:lvl w:ilvl="7">
      <w:start w:val="1"/>
      <w:numFmt w:val="lowerLetter"/>
      <w:isLgl w:val="false"/>
      <w:suff w:val="tab"/>
      <w:lvlText w:val="%8)"/>
      <w:lvlJc w:val="left"/>
      <w:pPr>
        <w:pStyle w:val="895"/>
        <w:ind w:left="3360" w:hanging="420"/>
      </w:pPr>
    </w:lvl>
    <w:lvl w:ilvl="8">
      <w:start w:val="1"/>
      <w:numFmt w:val="lowerRoman"/>
      <w:isLgl w:val="false"/>
      <w:suff w:val="tab"/>
      <w:lvlText w:val="%9."/>
      <w:lvlJc w:val="right"/>
      <w:pPr>
        <w:pStyle w:val="895"/>
        <w:ind w:left="3780" w:hanging="420"/>
      </w:pPr>
    </w:lvl>
  </w:abstractNum>
  <w:abstractNum w:abstractNumId="13">
    <w:multiLevelType w:val="hybridMultilevel"/>
    <w:lvl w:ilvl="0">
      <w:start w:val="2"/>
      <w:numFmt w:val="chineseCountingThousand"/>
      <w:pStyle w:val="974"/>
      <w:isLgl w:val="false"/>
      <w:suff w:val="nothing"/>
      <w:lvlText w:val="第%1部分"/>
      <w:lvlJc w:val="center"/>
      <w:pPr>
        <w:pStyle w:val="895"/>
        <w:ind w:left="432" w:firstLine="288"/>
      </w:pPr>
      <w:rPr>
        <w:rFonts w:hint="eastAsia"/>
        <w:sz w:val="28"/>
        <w:szCs w:val="28"/>
        <w:lang w:val="en-US"/>
      </w:rPr>
    </w:lvl>
    <w:lvl w:ilvl="1">
      <w:start w:val="1"/>
      <w:numFmt w:val="chineseCountingThousand"/>
      <w:isLgl w:val="false"/>
      <w:suff w:val="nothing"/>
      <w:lvlText w:val="%2、"/>
      <w:lvlJc w:val="left"/>
      <w:pPr>
        <w:pStyle w:val="895"/>
        <w:ind w:left="360" w:firstLine="0"/>
      </w:pPr>
      <w:rPr>
        <w:rFonts w:hint="eastAsia"/>
        <w:lang w:val="en-US"/>
      </w:rPr>
    </w:lvl>
    <w:lvl w:ilvl="2">
      <w:start w:val="1"/>
      <w:numFmt w:val="chineseCountingThousand"/>
      <w:isLgl w:val="false"/>
      <w:suff w:val="nothing"/>
      <w:lvlText w:val="(%3)"/>
      <w:lvlJc w:val="left"/>
      <w:pPr>
        <w:pStyle w:val="895"/>
        <w:ind w:left="0" w:firstLine="0"/>
      </w:pPr>
      <w:rPr>
        <w:rFonts w:hint="eastAsia"/>
      </w:rPr>
    </w:lvl>
    <w:lvl w:ilvl="3">
      <w:start w:val="1"/>
      <w:numFmt w:val="decimal"/>
      <w:isLgl w:val="false"/>
      <w:suff w:val="nothing"/>
      <w:lvlText w:val="%4、"/>
      <w:lvlJc w:val="left"/>
      <w:pPr>
        <w:pStyle w:val="895"/>
        <w:ind w:left="0" w:firstLine="0"/>
      </w:pPr>
      <w:rPr>
        <w:rFonts w:hint="eastAsia"/>
      </w:rPr>
    </w:lvl>
    <w:lvl w:ilvl="4">
      <w:start w:val="1"/>
      <w:numFmt w:val="upperLetter"/>
      <w:isLgl w:val="false"/>
      <w:suff w:val="nothing"/>
      <w:lvlText w:val="%5、"/>
      <w:lvlJc w:val="left"/>
      <w:pPr>
        <w:pStyle w:val="895"/>
        <w:ind w:left="0" w:firstLine="0"/>
      </w:pPr>
      <w:rPr>
        <w:rFonts w:hint="eastAsia"/>
      </w:rPr>
    </w:lvl>
    <w:lvl w:ilvl="5">
      <w:start w:val="1"/>
      <w:numFmt w:val="decimal"/>
      <w:isLgl w:val="false"/>
      <w:suff w:val="nothing"/>
      <w:lvlText w:val=""/>
      <w:lvlJc w:val="left"/>
      <w:pPr>
        <w:pStyle w:val="895"/>
        <w:ind w:left="0" w:firstLine="0"/>
      </w:pPr>
      <w:rPr>
        <w:rFonts w:hint="eastAsia"/>
      </w:rPr>
    </w:lvl>
    <w:lvl w:ilvl="6">
      <w:start w:val="1"/>
      <w:numFmt w:val="decimal"/>
      <w:isLgl w:val="false"/>
      <w:suff w:val="nothing"/>
      <w:lvlText w:val=""/>
      <w:lvlJc w:val="left"/>
      <w:pPr>
        <w:pStyle w:val="895"/>
        <w:ind w:left="0" w:firstLine="0"/>
      </w:pPr>
      <w:rPr>
        <w:rFonts w:hint="eastAsia"/>
      </w:rPr>
    </w:lvl>
    <w:lvl w:ilvl="7">
      <w:start w:val="1"/>
      <w:numFmt w:val="decimal"/>
      <w:isLgl w:val="false"/>
      <w:suff w:val="nothing"/>
      <w:lvlText w:val=""/>
      <w:lvlJc w:val="left"/>
      <w:pPr>
        <w:pStyle w:val="895"/>
        <w:ind w:left="0" w:firstLine="0"/>
      </w:pPr>
      <w:rPr>
        <w:rFonts w:hint="eastAsia"/>
      </w:rPr>
    </w:lvl>
    <w:lvl w:ilvl="8">
      <w:start w:val="1"/>
      <w:numFmt w:val="decimal"/>
      <w:isLgl w:val="false"/>
      <w:suff w:val="nothing"/>
      <w:lvlText w:val=""/>
      <w:lvlJc w:val="left"/>
      <w:pPr>
        <w:pStyle w:val="895"/>
        <w:ind w:left="0" w:firstLine="0"/>
      </w:pPr>
      <w:rPr>
        <w:rFonts w:hint="eastAsia"/>
      </w:rPr>
    </w:lvl>
  </w:abstractNum>
  <w:abstractNum w:abstractNumId="14">
    <w:multiLevelType w:val="hybridMultilevel"/>
    <w:lvl w:ilvl="0">
      <w:start w:val="1"/>
      <w:numFmt w:val="decimal"/>
      <w:isLgl w:val="false"/>
      <w:suff w:val="nothing"/>
      <w:lvlText w:val="%1、"/>
      <w:lvlJc w:val="left"/>
      <w:pPr>
        <w:pStyle w:val="8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
      <w:lvlJc w:val="left"/>
      <w:pPr>
        <w:pStyle w:val="8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895"/>
        <w:ind w:left="420" w:hanging="420"/>
      </w:pPr>
    </w:lvl>
    <w:lvl w:ilvl="1">
      <w:start w:val="1"/>
      <w:numFmt w:val="lowerLetter"/>
      <w:isLgl w:val="false"/>
      <w:suff w:val="tab"/>
      <w:lvlText w:val="%2)"/>
      <w:lvlJc w:val="left"/>
      <w:pPr>
        <w:pStyle w:val="895"/>
        <w:ind w:left="840" w:hanging="420"/>
      </w:pPr>
    </w:lvl>
    <w:lvl w:ilvl="2">
      <w:start w:val="1"/>
      <w:numFmt w:val="lowerRoman"/>
      <w:isLgl w:val="false"/>
      <w:suff w:val="tab"/>
      <w:lvlText w:val="%3."/>
      <w:lvlJc w:val="right"/>
      <w:pPr>
        <w:pStyle w:val="895"/>
        <w:ind w:left="1260" w:hanging="420"/>
      </w:pPr>
    </w:lvl>
    <w:lvl w:ilvl="3">
      <w:start w:val="1"/>
      <w:numFmt w:val="decimal"/>
      <w:isLgl w:val="false"/>
      <w:suff w:val="tab"/>
      <w:lvlText w:val="%4."/>
      <w:lvlJc w:val="left"/>
      <w:pPr>
        <w:pStyle w:val="895"/>
        <w:ind w:left="1680" w:hanging="420"/>
      </w:pPr>
    </w:lvl>
    <w:lvl w:ilvl="4">
      <w:start w:val="1"/>
      <w:numFmt w:val="lowerLetter"/>
      <w:isLgl w:val="false"/>
      <w:suff w:val="tab"/>
      <w:lvlText w:val="%5)"/>
      <w:lvlJc w:val="left"/>
      <w:pPr>
        <w:pStyle w:val="895"/>
        <w:ind w:left="2100" w:hanging="420"/>
      </w:pPr>
    </w:lvl>
    <w:lvl w:ilvl="5">
      <w:start w:val="1"/>
      <w:numFmt w:val="lowerRoman"/>
      <w:isLgl w:val="false"/>
      <w:suff w:val="tab"/>
      <w:lvlText w:val="%6."/>
      <w:lvlJc w:val="right"/>
      <w:pPr>
        <w:pStyle w:val="895"/>
        <w:ind w:left="2520" w:hanging="420"/>
      </w:pPr>
    </w:lvl>
    <w:lvl w:ilvl="6">
      <w:start w:val="1"/>
      <w:numFmt w:val="decimal"/>
      <w:isLgl w:val="false"/>
      <w:suff w:val="tab"/>
      <w:lvlText w:val="%7."/>
      <w:lvlJc w:val="left"/>
      <w:pPr>
        <w:pStyle w:val="895"/>
        <w:ind w:left="2940" w:hanging="420"/>
      </w:pPr>
    </w:lvl>
    <w:lvl w:ilvl="7">
      <w:start w:val="1"/>
      <w:numFmt w:val="lowerLetter"/>
      <w:isLgl w:val="false"/>
      <w:suff w:val="tab"/>
      <w:lvlText w:val="%8)"/>
      <w:lvlJc w:val="left"/>
      <w:pPr>
        <w:pStyle w:val="895"/>
        <w:ind w:left="3360" w:hanging="420"/>
      </w:pPr>
    </w:lvl>
    <w:lvl w:ilvl="8">
      <w:start w:val="1"/>
      <w:numFmt w:val="lowerRoman"/>
      <w:isLgl w:val="false"/>
      <w:suff w:val="tab"/>
      <w:lvlText w:val="%9."/>
      <w:lvlJc w:val="right"/>
      <w:pPr>
        <w:pStyle w:val="895"/>
        <w:ind w:left="3780" w:hanging="420"/>
      </w:pPr>
    </w:lvl>
  </w:abstractNum>
  <w:abstractNum w:abstractNumId="17">
    <w:multiLevelType w:val="hybridMultilevel"/>
    <w:lvl w:ilvl="0">
      <w:start w:val="1"/>
      <w:numFmt w:val="decimal"/>
      <w:isLgl w:val="false"/>
      <w:suff w:val="nothing"/>
      <w:lvlText w:val="%1、"/>
      <w:lvlJc w:val="left"/>
      <w:pPr>
        <w:pStyle w:val="8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13"/>
  </w:num>
  <w:num w:numId="3">
    <w:abstractNumId w:val="6"/>
  </w:num>
  <w:num w:numId="4">
    <w:abstractNumId w:val="5"/>
  </w:num>
  <w:num w:numId="5">
    <w:abstractNumId w:val="8"/>
  </w:num>
  <w:num w:numId="6">
    <w:abstractNumId w:val="3"/>
  </w:num>
  <w:num w:numId="7">
    <w:abstractNumId w:val="14"/>
  </w:num>
  <w:num w:numId="8">
    <w:abstractNumId w:val="0"/>
  </w:num>
  <w:num w:numId="9">
    <w:abstractNumId w:val="7"/>
  </w:num>
  <w:num w:numId="10">
    <w:abstractNumId w:val="9"/>
  </w:num>
  <w:num w:numId="11">
    <w:abstractNumId w:val="4"/>
  </w:num>
  <w:num w:numId="12">
    <w:abstractNumId w:val="15"/>
  </w:num>
  <w:num w:numId="13">
    <w:abstractNumId w:val="16"/>
  </w:num>
  <w:num w:numId="14">
    <w:abstractNumId w:val="12"/>
  </w:num>
  <w:num w:numId="15">
    <w:abstractNumId w:val="17"/>
  </w:num>
  <w:num w:numId="16">
    <w:abstractNumId w:val="11"/>
  </w:num>
  <w:num w:numId="17">
    <w:abstractNumId w:val="2"/>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name w:val="Heading 1"/>
    <w:basedOn w:val="895"/>
    <w:next w:val="895"/>
    <w:link w:val="719"/>
    <w:uiPriority w:val="9"/>
    <w:qFormat/>
    <w:pPr>
      <w:keepLines/>
      <w:keepNext/>
      <w:spacing w:before="480" w:after="200"/>
      <w:outlineLvl w:val="0"/>
    </w:pPr>
    <w:rPr>
      <w:rFonts w:ascii="Arial" w:hAnsi="Arial" w:eastAsia="Arial" w:cs="Arial"/>
      <w:sz w:val="40"/>
      <w:szCs w:val="40"/>
    </w:rPr>
  </w:style>
  <w:style w:type="character" w:styleId="719">
    <w:name w:val="Heading 1 Char"/>
    <w:link w:val="718"/>
    <w:uiPriority w:val="9"/>
    <w:rPr>
      <w:rFonts w:ascii="Arial" w:hAnsi="Arial" w:eastAsia="Arial" w:cs="Arial"/>
      <w:sz w:val="40"/>
      <w:szCs w:val="40"/>
    </w:rPr>
  </w:style>
  <w:style w:type="paragraph" w:styleId="720">
    <w:name w:val="Heading 2"/>
    <w:basedOn w:val="895"/>
    <w:next w:val="895"/>
    <w:link w:val="721"/>
    <w:uiPriority w:val="9"/>
    <w:unhideWhenUsed/>
    <w:qFormat/>
    <w:pPr>
      <w:keepLines/>
      <w:keepNext/>
      <w:spacing w:before="360" w:after="200"/>
      <w:outlineLvl w:val="1"/>
    </w:pPr>
    <w:rPr>
      <w:rFonts w:ascii="Arial" w:hAnsi="Arial" w:eastAsia="Arial" w:cs="Arial"/>
      <w:sz w:val="34"/>
    </w:rPr>
  </w:style>
  <w:style w:type="character" w:styleId="721">
    <w:name w:val="Heading 2 Char"/>
    <w:link w:val="720"/>
    <w:uiPriority w:val="9"/>
    <w:rPr>
      <w:rFonts w:ascii="Arial" w:hAnsi="Arial" w:eastAsia="Arial" w:cs="Arial"/>
      <w:sz w:val="34"/>
    </w:rPr>
  </w:style>
  <w:style w:type="paragraph" w:styleId="722">
    <w:name w:val="Heading 3"/>
    <w:basedOn w:val="895"/>
    <w:next w:val="895"/>
    <w:link w:val="723"/>
    <w:uiPriority w:val="9"/>
    <w:unhideWhenUsed/>
    <w:qFormat/>
    <w:pPr>
      <w:keepLines/>
      <w:keepNext/>
      <w:spacing w:before="320" w:after="200"/>
      <w:outlineLvl w:val="2"/>
    </w:pPr>
    <w:rPr>
      <w:rFonts w:ascii="Arial" w:hAnsi="Arial" w:eastAsia="Arial" w:cs="Arial"/>
      <w:sz w:val="30"/>
      <w:szCs w:val="30"/>
    </w:rPr>
  </w:style>
  <w:style w:type="character" w:styleId="723">
    <w:name w:val="Heading 3 Char"/>
    <w:link w:val="722"/>
    <w:uiPriority w:val="9"/>
    <w:rPr>
      <w:rFonts w:ascii="Arial" w:hAnsi="Arial" w:eastAsia="Arial" w:cs="Arial"/>
      <w:sz w:val="30"/>
      <w:szCs w:val="30"/>
    </w:rPr>
  </w:style>
  <w:style w:type="paragraph" w:styleId="724">
    <w:name w:val="Heading 4"/>
    <w:basedOn w:val="895"/>
    <w:next w:val="895"/>
    <w:link w:val="725"/>
    <w:uiPriority w:val="9"/>
    <w:unhideWhenUsed/>
    <w:qFormat/>
    <w:pPr>
      <w:keepLines/>
      <w:keepNext/>
      <w:spacing w:before="320" w:after="200"/>
      <w:outlineLvl w:val="3"/>
    </w:pPr>
    <w:rPr>
      <w:rFonts w:ascii="Arial" w:hAnsi="Arial" w:eastAsia="Arial" w:cs="Arial"/>
      <w:b/>
      <w:bCs/>
      <w:sz w:val="26"/>
      <w:szCs w:val="26"/>
    </w:rPr>
  </w:style>
  <w:style w:type="character" w:styleId="725">
    <w:name w:val="Heading 4 Char"/>
    <w:link w:val="724"/>
    <w:uiPriority w:val="9"/>
    <w:rPr>
      <w:rFonts w:ascii="Arial" w:hAnsi="Arial" w:eastAsia="Arial" w:cs="Arial"/>
      <w:b/>
      <w:bCs/>
      <w:sz w:val="26"/>
      <w:szCs w:val="26"/>
    </w:rPr>
  </w:style>
  <w:style w:type="paragraph" w:styleId="726">
    <w:name w:val="Heading 5"/>
    <w:basedOn w:val="895"/>
    <w:next w:val="895"/>
    <w:link w:val="727"/>
    <w:uiPriority w:val="9"/>
    <w:unhideWhenUsed/>
    <w:qFormat/>
    <w:pPr>
      <w:keepLines/>
      <w:keepNext/>
      <w:spacing w:before="320" w:after="200"/>
      <w:outlineLvl w:val="4"/>
    </w:pPr>
    <w:rPr>
      <w:rFonts w:ascii="Arial" w:hAnsi="Arial" w:eastAsia="Arial" w:cs="Arial"/>
      <w:b/>
      <w:bCs/>
      <w:sz w:val="24"/>
      <w:szCs w:val="24"/>
    </w:rPr>
  </w:style>
  <w:style w:type="character" w:styleId="727">
    <w:name w:val="Heading 5 Char"/>
    <w:link w:val="726"/>
    <w:uiPriority w:val="9"/>
    <w:rPr>
      <w:rFonts w:ascii="Arial" w:hAnsi="Arial" w:eastAsia="Arial" w:cs="Arial"/>
      <w:b/>
      <w:bCs/>
      <w:sz w:val="24"/>
      <w:szCs w:val="24"/>
    </w:rPr>
  </w:style>
  <w:style w:type="paragraph" w:styleId="728">
    <w:name w:val="Heading 6"/>
    <w:basedOn w:val="895"/>
    <w:next w:val="895"/>
    <w:link w:val="729"/>
    <w:uiPriority w:val="9"/>
    <w:unhideWhenUsed/>
    <w:qFormat/>
    <w:pPr>
      <w:keepLines/>
      <w:keepNext/>
      <w:spacing w:before="320" w:after="200"/>
      <w:outlineLvl w:val="5"/>
    </w:pPr>
    <w:rPr>
      <w:rFonts w:ascii="Arial" w:hAnsi="Arial" w:eastAsia="Arial" w:cs="Arial"/>
      <w:b/>
      <w:bCs/>
      <w:sz w:val="22"/>
      <w:szCs w:val="22"/>
    </w:rPr>
  </w:style>
  <w:style w:type="character" w:styleId="729">
    <w:name w:val="Heading 6 Char"/>
    <w:link w:val="728"/>
    <w:uiPriority w:val="9"/>
    <w:rPr>
      <w:rFonts w:ascii="Arial" w:hAnsi="Arial" w:eastAsia="Arial" w:cs="Arial"/>
      <w:b/>
      <w:bCs/>
      <w:sz w:val="22"/>
      <w:szCs w:val="22"/>
    </w:rPr>
  </w:style>
  <w:style w:type="paragraph" w:styleId="730">
    <w:name w:val="Heading 7"/>
    <w:basedOn w:val="895"/>
    <w:next w:val="895"/>
    <w:link w:val="731"/>
    <w:uiPriority w:val="9"/>
    <w:unhideWhenUsed/>
    <w:qFormat/>
    <w:pPr>
      <w:keepLines/>
      <w:keepNext/>
      <w:spacing w:before="320" w:after="200"/>
      <w:outlineLvl w:val="6"/>
    </w:pPr>
    <w:rPr>
      <w:rFonts w:ascii="Arial" w:hAnsi="Arial" w:eastAsia="Arial" w:cs="Arial"/>
      <w:b/>
      <w:bCs/>
      <w:i/>
      <w:iCs/>
      <w:sz w:val="22"/>
      <w:szCs w:val="22"/>
    </w:rPr>
  </w:style>
  <w:style w:type="character" w:styleId="731">
    <w:name w:val="Heading 7 Char"/>
    <w:link w:val="730"/>
    <w:uiPriority w:val="9"/>
    <w:rPr>
      <w:rFonts w:ascii="Arial" w:hAnsi="Arial" w:eastAsia="Arial" w:cs="Arial"/>
      <w:b/>
      <w:bCs/>
      <w:i/>
      <w:iCs/>
      <w:sz w:val="22"/>
      <w:szCs w:val="22"/>
    </w:rPr>
  </w:style>
  <w:style w:type="paragraph" w:styleId="732">
    <w:name w:val="Heading 8"/>
    <w:basedOn w:val="895"/>
    <w:next w:val="895"/>
    <w:link w:val="733"/>
    <w:uiPriority w:val="9"/>
    <w:unhideWhenUsed/>
    <w:qFormat/>
    <w:pPr>
      <w:keepLines/>
      <w:keepNext/>
      <w:spacing w:before="320" w:after="200"/>
      <w:outlineLvl w:val="7"/>
    </w:pPr>
    <w:rPr>
      <w:rFonts w:ascii="Arial" w:hAnsi="Arial" w:eastAsia="Arial" w:cs="Arial"/>
      <w:i/>
      <w:iCs/>
      <w:sz w:val="22"/>
      <w:szCs w:val="22"/>
    </w:rPr>
  </w:style>
  <w:style w:type="character" w:styleId="733">
    <w:name w:val="Heading 8 Char"/>
    <w:link w:val="732"/>
    <w:uiPriority w:val="9"/>
    <w:rPr>
      <w:rFonts w:ascii="Arial" w:hAnsi="Arial" w:eastAsia="Arial" w:cs="Arial"/>
      <w:i/>
      <w:iCs/>
      <w:sz w:val="22"/>
      <w:szCs w:val="22"/>
    </w:rPr>
  </w:style>
  <w:style w:type="paragraph" w:styleId="734">
    <w:name w:val="Heading 9"/>
    <w:basedOn w:val="895"/>
    <w:next w:val="895"/>
    <w:link w:val="735"/>
    <w:uiPriority w:val="9"/>
    <w:unhideWhenUsed/>
    <w:qFormat/>
    <w:pPr>
      <w:keepLines/>
      <w:keepNext/>
      <w:spacing w:before="320" w:after="200"/>
      <w:outlineLvl w:val="8"/>
    </w:pPr>
    <w:rPr>
      <w:rFonts w:ascii="Arial" w:hAnsi="Arial" w:eastAsia="Arial" w:cs="Arial"/>
      <w:i/>
      <w:iCs/>
      <w:sz w:val="21"/>
      <w:szCs w:val="21"/>
    </w:rPr>
  </w:style>
  <w:style w:type="character" w:styleId="735">
    <w:name w:val="Heading 9 Char"/>
    <w:link w:val="734"/>
    <w:uiPriority w:val="9"/>
    <w:rPr>
      <w:rFonts w:ascii="Arial" w:hAnsi="Arial" w:eastAsia="Arial" w:cs="Arial"/>
      <w:i/>
      <w:iCs/>
      <w:sz w:val="21"/>
      <w:szCs w:val="21"/>
    </w:rPr>
  </w:style>
  <w:style w:type="paragraph" w:styleId="736">
    <w:name w:val="No Spacing"/>
    <w:uiPriority w:val="1"/>
    <w:qFormat/>
    <w:pPr>
      <w:spacing w:before="0" w:after="0" w:line="240" w:lineRule="auto"/>
    </w:pPr>
  </w:style>
  <w:style w:type="paragraph" w:styleId="737">
    <w:name w:val="Title"/>
    <w:basedOn w:val="895"/>
    <w:next w:val="895"/>
    <w:link w:val="738"/>
    <w:uiPriority w:val="10"/>
    <w:qFormat/>
    <w:pPr>
      <w:contextualSpacing/>
      <w:spacing w:before="300" w:after="200"/>
    </w:pPr>
    <w:rPr>
      <w:sz w:val="48"/>
      <w:szCs w:val="48"/>
    </w:rPr>
  </w:style>
  <w:style w:type="character" w:styleId="738">
    <w:name w:val="Title Char"/>
    <w:link w:val="737"/>
    <w:uiPriority w:val="10"/>
    <w:rPr>
      <w:sz w:val="48"/>
      <w:szCs w:val="48"/>
    </w:rPr>
  </w:style>
  <w:style w:type="paragraph" w:styleId="739">
    <w:name w:val="Subtitle"/>
    <w:basedOn w:val="895"/>
    <w:next w:val="895"/>
    <w:link w:val="740"/>
    <w:uiPriority w:val="11"/>
    <w:qFormat/>
    <w:pPr>
      <w:spacing w:before="200" w:after="200"/>
    </w:pPr>
    <w:rPr>
      <w:sz w:val="24"/>
      <w:szCs w:val="24"/>
    </w:rPr>
  </w:style>
  <w:style w:type="character" w:styleId="740">
    <w:name w:val="Subtitle Char"/>
    <w:link w:val="739"/>
    <w:uiPriority w:val="11"/>
    <w:rPr>
      <w:sz w:val="24"/>
      <w:szCs w:val="24"/>
    </w:rPr>
  </w:style>
  <w:style w:type="paragraph" w:styleId="741">
    <w:name w:val="Quote"/>
    <w:basedOn w:val="895"/>
    <w:next w:val="895"/>
    <w:link w:val="742"/>
    <w:uiPriority w:val="29"/>
    <w:qFormat/>
    <w:pPr>
      <w:ind w:left="720" w:right="720"/>
    </w:pPr>
    <w:rPr>
      <w:i/>
    </w:rPr>
  </w:style>
  <w:style w:type="character" w:styleId="742">
    <w:name w:val="Quote Char"/>
    <w:link w:val="741"/>
    <w:uiPriority w:val="29"/>
    <w:rPr>
      <w:i/>
    </w:rPr>
  </w:style>
  <w:style w:type="paragraph" w:styleId="743">
    <w:name w:val="Intense Quote"/>
    <w:basedOn w:val="895"/>
    <w:next w:val="895"/>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name w:val="Intense Quote Char"/>
    <w:link w:val="743"/>
    <w:uiPriority w:val="30"/>
    <w:rPr>
      <w:i/>
    </w:rPr>
  </w:style>
  <w:style w:type="paragraph" w:styleId="745">
    <w:name w:val="Header"/>
    <w:basedOn w:val="895"/>
    <w:link w:val="746"/>
    <w:uiPriority w:val="99"/>
    <w:unhideWhenUsed/>
    <w:pPr>
      <w:spacing w:after="0" w:line="240" w:lineRule="auto"/>
      <w:tabs>
        <w:tab w:val="center" w:pos="7143" w:leader="none"/>
        <w:tab w:val="right" w:pos="14287" w:leader="none"/>
      </w:tabs>
    </w:pPr>
  </w:style>
  <w:style w:type="character" w:styleId="746">
    <w:name w:val="Header Char"/>
    <w:link w:val="745"/>
    <w:uiPriority w:val="99"/>
  </w:style>
  <w:style w:type="paragraph" w:styleId="747">
    <w:name w:val="Footer"/>
    <w:basedOn w:val="895"/>
    <w:link w:val="750"/>
    <w:uiPriority w:val="99"/>
    <w:unhideWhenUsed/>
    <w:pPr>
      <w:spacing w:after="0" w:line="240" w:lineRule="auto"/>
      <w:tabs>
        <w:tab w:val="center" w:pos="7143" w:leader="none"/>
        <w:tab w:val="right" w:pos="14287" w:leader="none"/>
      </w:tabs>
    </w:pPr>
  </w:style>
  <w:style w:type="character" w:styleId="748">
    <w:name w:val="Footer Char"/>
    <w:link w:val="747"/>
    <w:uiPriority w:val="99"/>
  </w:style>
  <w:style w:type="paragraph" w:styleId="749">
    <w:name w:val="Caption"/>
    <w:basedOn w:val="895"/>
    <w:next w:val="895"/>
    <w:uiPriority w:val="35"/>
    <w:semiHidden/>
    <w:unhideWhenUsed/>
    <w:qFormat/>
    <w:pPr>
      <w:spacing w:line="276" w:lineRule="auto"/>
    </w:pPr>
    <w:rPr>
      <w:b/>
      <w:bCs/>
      <w:color w:val="4f81bd" w:themeColor="accent1"/>
      <w:sz w:val="18"/>
      <w:szCs w:val="18"/>
    </w:rPr>
  </w:style>
  <w:style w:type="character" w:styleId="750">
    <w:name w:val="Caption Char"/>
    <w:basedOn w:val="749"/>
    <w:link w:val="747"/>
    <w:uiPriority w:val="99"/>
  </w:style>
  <w:style w:type="table" w:styleId="75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7">
    <w:name w:val="Hyperlink"/>
    <w:uiPriority w:val="99"/>
    <w:unhideWhenUsed/>
    <w:rPr>
      <w:color w:val="0000ff" w:themeColor="hyperlink"/>
      <w:u w:val="single"/>
    </w:rPr>
  </w:style>
  <w:style w:type="paragraph" w:styleId="878">
    <w:name w:val="footnote text"/>
    <w:basedOn w:val="895"/>
    <w:link w:val="879"/>
    <w:uiPriority w:val="99"/>
    <w:semiHidden/>
    <w:unhideWhenUsed/>
    <w:pPr>
      <w:spacing w:after="40" w:line="240" w:lineRule="auto"/>
    </w:pPr>
    <w:rPr>
      <w:sz w:val="18"/>
    </w:rPr>
  </w:style>
  <w:style w:type="character" w:styleId="879">
    <w:name w:val="Footnote Text Char"/>
    <w:link w:val="878"/>
    <w:uiPriority w:val="99"/>
    <w:rPr>
      <w:sz w:val="18"/>
    </w:rPr>
  </w:style>
  <w:style w:type="character" w:styleId="880">
    <w:name w:val="footnote reference"/>
    <w:uiPriority w:val="99"/>
    <w:unhideWhenUsed/>
    <w:rPr>
      <w:vertAlign w:val="superscript"/>
    </w:rPr>
  </w:style>
  <w:style w:type="paragraph" w:styleId="881">
    <w:name w:val="endnote text"/>
    <w:basedOn w:val="895"/>
    <w:link w:val="882"/>
    <w:uiPriority w:val="99"/>
    <w:semiHidden/>
    <w:unhideWhenUsed/>
    <w:pPr>
      <w:spacing w:after="0" w:line="240" w:lineRule="auto"/>
    </w:pPr>
    <w:rPr>
      <w:sz w:val="20"/>
    </w:rPr>
  </w:style>
  <w:style w:type="character" w:styleId="882">
    <w:name w:val="Endnote Text Char"/>
    <w:link w:val="881"/>
    <w:uiPriority w:val="99"/>
    <w:rPr>
      <w:sz w:val="20"/>
    </w:rPr>
  </w:style>
  <w:style w:type="character" w:styleId="883">
    <w:name w:val="endnote reference"/>
    <w:uiPriority w:val="99"/>
    <w:semiHidden/>
    <w:unhideWhenUsed/>
    <w:rPr>
      <w:vertAlign w:val="superscript"/>
    </w:rPr>
  </w:style>
  <w:style w:type="paragraph" w:styleId="884">
    <w:name w:val="toc 1"/>
    <w:basedOn w:val="895"/>
    <w:next w:val="895"/>
    <w:uiPriority w:val="39"/>
    <w:unhideWhenUsed/>
    <w:pPr>
      <w:ind w:left="0" w:right="0" w:firstLine="0"/>
      <w:spacing w:after="57"/>
    </w:pPr>
  </w:style>
  <w:style w:type="paragraph" w:styleId="885">
    <w:name w:val="toc 2"/>
    <w:basedOn w:val="895"/>
    <w:next w:val="895"/>
    <w:uiPriority w:val="39"/>
    <w:unhideWhenUsed/>
    <w:pPr>
      <w:ind w:left="283" w:right="0" w:firstLine="0"/>
      <w:spacing w:after="57"/>
    </w:pPr>
  </w:style>
  <w:style w:type="paragraph" w:styleId="886">
    <w:name w:val="toc 3"/>
    <w:basedOn w:val="895"/>
    <w:next w:val="895"/>
    <w:uiPriority w:val="39"/>
    <w:unhideWhenUsed/>
    <w:pPr>
      <w:ind w:left="567" w:right="0" w:firstLine="0"/>
      <w:spacing w:after="57"/>
    </w:pPr>
  </w:style>
  <w:style w:type="paragraph" w:styleId="887">
    <w:name w:val="toc 4"/>
    <w:basedOn w:val="895"/>
    <w:next w:val="895"/>
    <w:uiPriority w:val="39"/>
    <w:unhideWhenUsed/>
    <w:pPr>
      <w:ind w:left="850" w:right="0" w:firstLine="0"/>
      <w:spacing w:after="57"/>
    </w:pPr>
  </w:style>
  <w:style w:type="paragraph" w:styleId="888">
    <w:name w:val="toc 5"/>
    <w:basedOn w:val="895"/>
    <w:next w:val="895"/>
    <w:uiPriority w:val="39"/>
    <w:unhideWhenUsed/>
    <w:pPr>
      <w:ind w:left="1134" w:right="0" w:firstLine="0"/>
      <w:spacing w:after="57"/>
    </w:pPr>
  </w:style>
  <w:style w:type="paragraph" w:styleId="889">
    <w:name w:val="toc 6"/>
    <w:basedOn w:val="895"/>
    <w:next w:val="895"/>
    <w:uiPriority w:val="39"/>
    <w:unhideWhenUsed/>
    <w:pPr>
      <w:ind w:left="1417" w:right="0" w:firstLine="0"/>
      <w:spacing w:after="57"/>
    </w:pPr>
  </w:style>
  <w:style w:type="paragraph" w:styleId="890">
    <w:name w:val="toc 7"/>
    <w:basedOn w:val="895"/>
    <w:next w:val="895"/>
    <w:uiPriority w:val="39"/>
    <w:unhideWhenUsed/>
    <w:pPr>
      <w:ind w:left="1701" w:right="0" w:firstLine="0"/>
      <w:spacing w:after="57"/>
    </w:pPr>
  </w:style>
  <w:style w:type="paragraph" w:styleId="891">
    <w:name w:val="toc 8"/>
    <w:basedOn w:val="895"/>
    <w:next w:val="895"/>
    <w:uiPriority w:val="39"/>
    <w:unhideWhenUsed/>
    <w:pPr>
      <w:ind w:left="1984" w:right="0" w:firstLine="0"/>
      <w:spacing w:after="57"/>
    </w:pPr>
  </w:style>
  <w:style w:type="paragraph" w:styleId="892">
    <w:name w:val="toc 9"/>
    <w:basedOn w:val="895"/>
    <w:next w:val="895"/>
    <w:uiPriority w:val="39"/>
    <w:unhideWhenUsed/>
    <w:pPr>
      <w:ind w:left="2268" w:right="0" w:firstLine="0"/>
      <w:spacing w:after="57"/>
    </w:pPr>
  </w:style>
  <w:style w:type="paragraph" w:styleId="893">
    <w:name w:val="TOC Heading"/>
    <w:uiPriority w:val="39"/>
    <w:unhideWhenUsed/>
  </w:style>
  <w:style w:type="paragraph" w:styleId="894">
    <w:name w:val="table of figures"/>
    <w:basedOn w:val="895"/>
    <w:next w:val="895"/>
    <w:uiPriority w:val="99"/>
    <w:unhideWhenUsed/>
    <w:pPr>
      <w:spacing w:after="0" w:afterAutospacing="0"/>
    </w:pPr>
  </w:style>
  <w:style w:type="paragraph" w:styleId="895" w:default="1">
    <w:name w:val="Normal"/>
    <w:next w:val="895"/>
    <w:link w:val="895"/>
    <w:qFormat/>
    <w:pPr>
      <w:jc w:val="both"/>
      <w:widowControl w:val="off"/>
    </w:pPr>
    <w:rPr>
      <w:sz w:val="21"/>
      <w:szCs w:val="24"/>
      <w:lang w:val="en-US" w:eastAsia="zh-CN" w:bidi="ar-SA"/>
    </w:rPr>
  </w:style>
  <w:style w:type="paragraph" w:styleId="896">
    <w:name w:val="标题 1"/>
    <w:basedOn w:val="895"/>
    <w:next w:val="895"/>
    <w:link w:val="895"/>
    <w:uiPriority w:val="9"/>
    <w:qFormat/>
    <w:pPr>
      <w:keepLines/>
      <w:keepNext/>
      <w:spacing w:before="340" w:after="330" w:line="578" w:lineRule="auto"/>
      <w:outlineLvl w:val="0"/>
    </w:pPr>
    <w:rPr>
      <w:b/>
      <w:bCs/>
      <w:sz w:val="44"/>
      <w:szCs w:val="44"/>
    </w:rPr>
  </w:style>
  <w:style w:type="paragraph" w:styleId="897">
    <w:name w:val="标题 2"/>
    <w:basedOn w:val="895"/>
    <w:next w:val="903"/>
    <w:link w:val="895"/>
    <w:uiPriority w:val="9"/>
    <w:qFormat/>
    <w:pPr>
      <w:keepLines/>
      <w:keepNext/>
      <w:spacing w:before="260" w:after="260" w:line="413" w:lineRule="auto"/>
      <w:outlineLvl w:val="1"/>
    </w:pPr>
    <w:rPr>
      <w:rFonts w:ascii="Arial" w:hAnsi="Arial" w:eastAsia="黑体"/>
      <w:b/>
      <w:sz w:val="32"/>
      <w:szCs w:val="20"/>
    </w:rPr>
  </w:style>
  <w:style w:type="paragraph" w:styleId="898">
    <w:name w:val="标题 3"/>
    <w:basedOn w:val="895"/>
    <w:next w:val="895"/>
    <w:link w:val="895"/>
    <w:uiPriority w:val="9"/>
    <w:qFormat/>
    <w:pPr>
      <w:keepLines/>
      <w:keepNext/>
      <w:spacing w:before="260" w:after="260" w:line="413" w:lineRule="auto"/>
      <w:outlineLvl w:val="2"/>
    </w:pPr>
    <w:rPr>
      <w:rFonts w:ascii="Arial" w:hAnsi="Arial"/>
      <w:b/>
      <w:sz w:val="32"/>
      <w:szCs w:val="20"/>
    </w:rPr>
  </w:style>
  <w:style w:type="paragraph" w:styleId="899">
    <w:name w:val="标题 4"/>
    <w:basedOn w:val="895"/>
    <w:next w:val="895"/>
    <w:link w:val="905"/>
    <w:uiPriority w:val="9"/>
    <w:qFormat/>
    <w:pPr>
      <w:keepLines/>
      <w:keepNext/>
      <w:spacing w:before="280" w:after="290" w:line="376" w:lineRule="auto"/>
      <w:outlineLvl w:val="3"/>
    </w:pPr>
    <w:rPr>
      <w:rFonts w:ascii="Cambria" w:hAnsi="Cambria"/>
      <w:b/>
      <w:bCs/>
      <w:sz w:val="28"/>
      <w:szCs w:val="28"/>
    </w:rPr>
  </w:style>
  <w:style w:type="paragraph" w:styleId="900">
    <w:name w:val="标题 5"/>
    <w:basedOn w:val="895"/>
    <w:next w:val="895"/>
    <w:link w:val="906"/>
    <w:uiPriority w:val="9"/>
    <w:qFormat/>
    <w:pPr>
      <w:keepLines/>
      <w:keepNext/>
      <w:spacing w:before="280" w:after="290" w:line="376" w:lineRule="auto"/>
      <w:outlineLvl w:val="4"/>
    </w:pPr>
    <w:rPr>
      <w:b/>
      <w:bCs/>
      <w:sz w:val="28"/>
      <w:szCs w:val="28"/>
    </w:rPr>
  </w:style>
  <w:style w:type="character" w:styleId="901">
    <w:name w:val="默认段落字体"/>
    <w:next w:val="901"/>
    <w:link w:val="895"/>
    <w:semiHidden/>
  </w:style>
  <w:style w:type="table" w:styleId="902">
    <w:name w:val="普通表格"/>
    <w:next w:val="902"/>
    <w:link w:val="895"/>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03">
    <w:name w:val="正文缩进"/>
    <w:basedOn w:val="895"/>
    <w:next w:val="903"/>
    <w:link w:val="904"/>
    <w:pPr>
      <w:ind w:firstLine="420"/>
    </w:pPr>
    <w:rPr>
      <w:szCs w:val="20"/>
    </w:rPr>
  </w:style>
  <w:style w:type="character" w:styleId="904">
    <w:name w:val="正文缩进 Char"/>
    <w:next w:val="904"/>
    <w:link w:val="903"/>
    <w:rPr>
      <w:sz w:val="21"/>
    </w:rPr>
  </w:style>
  <w:style w:type="character" w:styleId="905">
    <w:name w:val="标题 4 Char"/>
    <w:next w:val="905"/>
    <w:link w:val="899"/>
    <w:uiPriority w:val="9"/>
    <w:rPr>
      <w:rFonts w:ascii="Cambria" w:hAnsi="Cambria"/>
      <w:b/>
      <w:bCs/>
      <w:sz w:val="28"/>
      <w:szCs w:val="28"/>
    </w:rPr>
  </w:style>
  <w:style w:type="character" w:styleId="906">
    <w:name w:val="标题 5 Char"/>
    <w:next w:val="906"/>
    <w:link w:val="900"/>
    <w:uiPriority w:val="9"/>
    <w:rPr>
      <w:b/>
      <w:bCs/>
      <w:sz w:val="28"/>
      <w:szCs w:val="28"/>
    </w:rPr>
  </w:style>
  <w:style w:type="paragraph" w:styleId="907">
    <w:name w:val="题注"/>
    <w:basedOn w:val="895"/>
    <w:next w:val="895"/>
    <w:link w:val="895"/>
    <w:uiPriority w:val="35"/>
    <w:qFormat/>
    <w:pPr>
      <w:jc w:val="center"/>
      <w:spacing w:before="156" w:after="156" w:line="360" w:lineRule="auto"/>
    </w:pPr>
    <w:rPr>
      <w:rFonts w:ascii="Arial" w:hAnsi="Arial" w:cs="Arial"/>
      <w:sz w:val="24"/>
      <w:szCs w:val="20"/>
    </w:rPr>
  </w:style>
  <w:style w:type="paragraph" w:styleId="908">
    <w:name w:val="文档结构图"/>
    <w:basedOn w:val="895"/>
    <w:next w:val="908"/>
    <w:link w:val="895"/>
    <w:semiHidden/>
    <w:pPr>
      <w:shd w:val="clear" w:color="auto" w:fill="000080"/>
    </w:pPr>
  </w:style>
  <w:style w:type="paragraph" w:styleId="909">
    <w:name w:val="批注文字"/>
    <w:basedOn w:val="895"/>
    <w:next w:val="909"/>
    <w:link w:val="910"/>
    <w:uiPriority w:val="99"/>
    <w:unhideWhenUsed/>
    <w:pPr>
      <w:jc w:val="left"/>
    </w:pPr>
  </w:style>
  <w:style w:type="character" w:styleId="910">
    <w:name w:val="批注文字 Char"/>
    <w:next w:val="910"/>
    <w:link w:val="909"/>
    <w:uiPriority w:val="99"/>
    <w:rPr>
      <w:sz w:val="21"/>
      <w:szCs w:val="24"/>
    </w:rPr>
  </w:style>
  <w:style w:type="paragraph" w:styleId="911">
    <w:name w:val="正文文本 3"/>
    <w:basedOn w:val="895"/>
    <w:next w:val="911"/>
    <w:link w:val="895"/>
    <w:rPr>
      <w:rFonts w:ascii="楷体_GB2312" w:hAnsi="Arial" w:eastAsia="楷体_GB2312" w:cs="Arial"/>
      <w:b/>
      <w:bCs/>
      <w:color w:val="000000"/>
      <w:sz w:val="24"/>
    </w:rPr>
  </w:style>
  <w:style w:type="paragraph" w:styleId="912">
    <w:name w:val="正文文本"/>
    <w:basedOn w:val="895"/>
    <w:next w:val="912"/>
    <w:link w:val="895"/>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13">
    <w:name w:val="正文文本缩进"/>
    <w:basedOn w:val="895"/>
    <w:next w:val="913"/>
    <w:link w:val="895"/>
    <w:pPr>
      <w:ind w:firstLine="630"/>
    </w:pPr>
    <w:rPr>
      <w:rFonts w:ascii="楷体_GB2312" w:eastAsia="楷体_GB2312"/>
      <w:sz w:val="32"/>
      <w:szCs w:val="20"/>
    </w:rPr>
  </w:style>
  <w:style w:type="paragraph" w:styleId="914">
    <w:name w:val="文本块"/>
    <w:basedOn w:val="895"/>
    <w:next w:val="914"/>
    <w:link w:val="895"/>
    <w:pPr>
      <w:ind w:left="420" w:right="33"/>
      <w:jc w:val="left"/>
    </w:pPr>
    <w:rPr>
      <w:sz w:val="24"/>
      <w:szCs w:val="20"/>
    </w:rPr>
  </w:style>
  <w:style w:type="paragraph" w:styleId="915">
    <w:name w:val="目录 3"/>
    <w:basedOn w:val="895"/>
    <w:next w:val="895"/>
    <w:link w:val="895"/>
    <w:semiHidden/>
    <w:pPr>
      <w:ind w:left="840"/>
      <w:spacing w:line="300" w:lineRule="auto"/>
      <w:tabs>
        <w:tab w:val="right" w:pos="9344" w:leader="dot"/>
      </w:tabs>
    </w:pPr>
    <w:rPr>
      <w:rFonts w:ascii="Arial" w:hAnsi="Arial" w:cs="Arial"/>
      <w:szCs w:val="21"/>
    </w:rPr>
  </w:style>
  <w:style w:type="paragraph" w:styleId="916">
    <w:name w:val="纯文本"/>
    <w:basedOn w:val="895"/>
    <w:next w:val="916"/>
    <w:link w:val="917"/>
    <w:rPr>
      <w:rFonts w:ascii="宋体" w:hAnsi="Courier New"/>
      <w:szCs w:val="20"/>
    </w:rPr>
  </w:style>
  <w:style w:type="character" w:styleId="917">
    <w:name w:val="纯文本 Char"/>
    <w:next w:val="917"/>
    <w:link w:val="916"/>
    <w:rPr>
      <w:rFonts w:ascii="宋体" w:hAnsi="Courier New" w:eastAsia="宋体"/>
      <w:sz w:val="21"/>
      <w:lang w:val="en-US" w:eastAsia="zh-CN" w:bidi="ar-SA"/>
    </w:rPr>
  </w:style>
  <w:style w:type="paragraph" w:styleId="918">
    <w:name w:val="正文文本缩进 2"/>
    <w:basedOn w:val="895"/>
    <w:next w:val="918"/>
    <w:link w:val="895"/>
    <w:pPr>
      <w:ind w:left="420"/>
      <w:spacing w:after="120" w:line="480" w:lineRule="auto"/>
    </w:pPr>
  </w:style>
  <w:style w:type="paragraph" w:styleId="919">
    <w:name w:val="批注框文本"/>
    <w:basedOn w:val="895"/>
    <w:next w:val="919"/>
    <w:link w:val="920"/>
    <w:rPr>
      <w:sz w:val="18"/>
      <w:szCs w:val="18"/>
    </w:rPr>
  </w:style>
  <w:style w:type="character" w:styleId="920">
    <w:name w:val="批注框文本 Char"/>
    <w:next w:val="920"/>
    <w:link w:val="919"/>
    <w:rPr>
      <w:sz w:val="18"/>
      <w:szCs w:val="18"/>
    </w:rPr>
  </w:style>
  <w:style w:type="paragraph" w:styleId="921">
    <w:name w:val="页脚"/>
    <w:basedOn w:val="895"/>
    <w:next w:val="921"/>
    <w:link w:val="922"/>
    <w:pPr>
      <w:jc w:val="left"/>
      <w:tabs>
        <w:tab w:val="center" w:pos="4153" w:leader="none"/>
        <w:tab w:val="right" w:pos="8306" w:leader="none"/>
      </w:tabs>
    </w:pPr>
    <w:rPr>
      <w:sz w:val="18"/>
      <w:szCs w:val="18"/>
    </w:rPr>
  </w:style>
  <w:style w:type="character" w:styleId="922">
    <w:name w:val="页脚 Char"/>
    <w:next w:val="922"/>
    <w:link w:val="921"/>
    <w:rPr>
      <w:sz w:val="18"/>
      <w:szCs w:val="18"/>
    </w:rPr>
  </w:style>
  <w:style w:type="paragraph" w:styleId="923">
    <w:name w:val="页眉"/>
    <w:basedOn w:val="895"/>
    <w:next w:val="923"/>
    <w:link w:val="924"/>
    <w:pPr>
      <w:jc w:val="center"/>
      <w:tabs>
        <w:tab w:val="center" w:pos="4153" w:leader="none"/>
        <w:tab w:val="right" w:pos="8306" w:leader="none"/>
      </w:tabs>
      <w:pBdr>
        <w:bottom w:val="single" w:color="000000" w:sz="6" w:space="1"/>
      </w:pBdr>
    </w:pPr>
    <w:rPr>
      <w:sz w:val="18"/>
      <w:szCs w:val="18"/>
    </w:rPr>
  </w:style>
  <w:style w:type="character" w:styleId="924">
    <w:name w:val="页眉 Char"/>
    <w:next w:val="924"/>
    <w:link w:val="923"/>
    <w:rPr>
      <w:sz w:val="18"/>
      <w:szCs w:val="18"/>
    </w:rPr>
  </w:style>
  <w:style w:type="paragraph" w:styleId="925">
    <w:name w:val="目录 1"/>
    <w:basedOn w:val="895"/>
    <w:next w:val="895"/>
    <w:link w:val="895"/>
    <w:semiHidden/>
  </w:style>
  <w:style w:type="paragraph" w:styleId="926">
    <w:name w:val="正文文本缩进 3"/>
    <w:basedOn w:val="895"/>
    <w:next w:val="926"/>
    <w:link w:val="895"/>
    <w:uiPriority w:val="99"/>
    <w:pPr>
      <w:ind w:firstLine="420"/>
    </w:pPr>
    <w:rPr>
      <w:rFonts w:eastAsia="楷体_GB2312"/>
    </w:rPr>
  </w:style>
  <w:style w:type="paragraph" w:styleId="927">
    <w:name w:val="目录 2"/>
    <w:basedOn w:val="895"/>
    <w:next w:val="895"/>
    <w:link w:val="895"/>
    <w:semiHidden/>
    <w:pPr>
      <w:ind w:left="420"/>
    </w:pPr>
    <w:rPr>
      <w:szCs w:val="20"/>
    </w:rPr>
  </w:style>
  <w:style w:type="paragraph" w:styleId="928">
    <w:name w:val="正文文本 2"/>
    <w:basedOn w:val="895"/>
    <w:next w:val="928"/>
    <w:link w:val="929"/>
    <w:pPr>
      <w:spacing w:line="440" w:lineRule="exact"/>
    </w:pPr>
    <w:rPr>
      <w:rFonts w:ascii="楷体_GB2312" w:eastAsia="楷体_GB2312"/>
      <w:sz w:val="28"/>
    </w:rPr>
  </w:style>
  <w:style w:type="character" w:styleId="929">
    <w:name w:val="正文文本 2 Char"/>
    <w:next w:val="929"/>
    <w:link w:val="928"/>
    <w:rPr>
      <w:rFonts w:ascii="楷体_GB2312" w:eastAsia="楷体_GB2312"/>
      <w:sz w:val="28"/>
      <w:szCs w:val="24"/>
    </w:rPr>
  </w:style>
  <w:style w:type="paragraph" w:styleId="930">
    <w:name w:val="批注主题"/>
    <w:basedOn w:val="909"/>
    <w:next w:val="909"/>
    <w:link w:val="931"/>
    <w:rPr>
      <w:b/>
      <w:bCs/>
    </w:rPr>
  </w:style>
  <w:style w:type="character" w:styleId="931">
    <w:name w:val="批注主题 Char"/>
    <w:next w:val="931"/>
    <w:link w:val="930"/>
    <w:rPr>
      <w:b/>
      <w:bCs/>
      <w:sz w:val="21"/>
      <w:szCs w:val="24"/>
    </w:rPr>
  </w:style>
  <w:style w:type="paragraph" w:styleId="932">
    <w:name w:val="正文首行缩进 2"/>
    <w:basedOn w:val="913"/>
    <w:next w:val="932"/>
    <w:link w:val="895"/>
    <w:pPr>
      <w:ind w:left="420" w:firstLine="420"/>
      <w:spacing w:after="120"/>
      <w:widowControl/>
    </w:pPr>
    <w:rPr>
      <w:rFonts w:ascii="仿宋_GB2312" w:eastAsia="仿宋_GB2312"/>
      <w:color w:val="ff6600"/>
      <w:sz w:val="21"/>
    </w:rPr>
  </w:style>
  <w:style w:type="table" w:styleId="933">
    <w:name w:val="网格型"/>
    <w:basedOn w:val="902"/>
    <w:next w:val="933"/>
    <w:link w:val="895"/>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34">
    <w:name w:val="要点"/>
    <w:next w:val="934"/>
    <w:link w:val="895"/>
    <w:qFormat/>
    <w:rPr>
      <w:b w:val="0"/>
      <w:i w:val="0"/>
    </w:rPr>
  </w:style>
  <w:style w:type="character" w:styleId="935">
    <w:name w:val="页码"/>
    <w:next w:val="935"/>
    <w:link w:val="895"/>
  </w:style>
  <w:style w:type="character" w:styleId="936">
    <w:name w:val="已访问的超链接"/>
    <w:next w:val="936"/>
    <w:link w:val="895"/>
    <w:rPr>
      <w:color w:val="800080"/>
      <w:u w:val="none"/>
    </w:rPr>
  </w:style>
  <w:style w:type="character" w:styleId="937">
    <w:name w:val="强调"/>
    <w:next w:val="937"/>
    <w:link w:val="895"/>
    <w:qFormat/>
    <w:rPr>
      <w:b w:val="0"/>
      <w:i w:val="0"/>
    </w:rPr>
  </w:style>
  <w:style w:type="character" w:styleId="938">
    <w:name w:val="HTML 定义"/>
    <w:next w:val="938"/>
    <w:link w:val="895"/>
    <w:rPr>
      <w:b w:val="0"/>
      <w:i w:val="0"/>
    </w:rPr>
  </w:style>
  <w:style w:type="character" w:styleId="939">
    <w:name w:val="HTML 打字机"/>
    <w:next w:val="939"/>
    <w:link w:val="895"/>
    <w:rPr>
      <w:rFonts w:ascii="monospace" w:hAnsi="monospace" w:eastAsia="monospace" w:cs="monospace"/>
      <w:sz w:val="20"/>
    </w:rPr>
  </w:style>
  <w:style w:type="character" w:styleId="940">
    <w:name w:val="HTML 缩写"/>
    <w:next w:val="940"/>
    <w:link w:val="895"/>
  </w:style>
  <w:style w:type="character" w:styleId="941">
    <w:name w:val="HTML 变量"/>
    <w:next w:val="941"/>
    <w:link w:val="895"/>
    <w:rPr>
      <w:b w:val="0"/>
      <w:i w:val="0"/>
    </w:rPr>
  </w:style>
  <w:style w:type="character" w:styleId="942">
    <w:name w:val="超链接"/>
    <w:next w:val="942"/>
    <w:link w:val="895"/>
    <w:rPr>
      <w:color w:val="0000ff"/>
      <w:u w:val="none"/>
    </w:rPr>
  </w:style>
  <w:style w:type="character" w:styleId="943">
    <w:name w:val="HTML 代码"/>
    <w:next w:val="943"/>
    <w:link w:val="895"/>
    <w:rPr>
      <w:rFonts w:ascii="monospace" w:hAnsi="monospace" w:eastAsia="monospace" w:cs="monospace"/>
      <w:b w:val="0"/>
      <w:i w:val="0"/>
      <w:sz w:val="20"/>
    </w:rPr>
  </w:style>
  <w:style w:type="character" w:styleId="944">
    <w:name w:val="批注引用"/>
    <w:next w:val="944"/>
    <w:link w:val="895"/>
    <w:rPr>
      <w:sz w:val="21"/>
      <w:szCs w:val="21"/>
    </w:rPr>
  </w:style>
  <w:style w:type="character" w:styleId="945">
    <w:name w:val="HTML 引文"/>
    <w:next w:val="945"/>
    <w:link w:val="895"/>
    <w:rPr>
      <w:b w:val="0"/>
      <w:i w:val="0"/>
    </w:rPr>
  </w:style>
  <w:style w:type="character" w:styleId="946">
    <w:name w:val="HTML 键盘"/>
    <w:next w:val="946"/>
    <w:link w:val="895"/>
    <w:rPr>
      <w:rFonts w:ascii="monospace" w:hAnsi="monospace" w:eastAsia="monospace" w:cs="monospace"/>
      <w:sz w:val="20"/>
    </w:rPr>
  </w:style>
  <w:style w:type="character" w:styleId="947">
    <w:name w:val="HTML 样本"/>
    <w:next w:val="947"/>
    <w:link w:val="895"/>
    <w:rPr>
      <w:rFonts w:ascii="monospace" w:hAnsi="monospace" w:eastAsia="monospace" w:cs="monospace"/>
    </w:rPr>
  </w:style>
  <w:style w:type="character" w:styleId="948">
    <w:name w:val="Font Style30"/>
    <w:next w:val="948"/>
    <w:link w:val="895"/>
    <w:rPr>
      <w:rFonts w:ascii="宋体" w:eastAsia="宋体" w:cs="宋体"/>
      <w:sz w:val="14"/>
      <w:szCs w:val="14"/>
    </w:rPr>
  </w:style>
  <w:style w:type="character" w:styleId="949">
    <w:name w:val="glyphicon"/>
    <w:next w:val="949"/>
    <w:link w:val="895"/>
  </w:style>
  <w:style w:type="character" w:styleId="950">
    <w:name w:val="Font Style36"/>
    <w:next w:val="950"/>
    <w:link w:val="895"/>
    <w:rPr>
      <w:rFonts w:ascii="宋体" w:eastAsia="宋体" w:cs="宋体"/>
      <w:sz w:val="16"/>
      <w:szCs w:val="16"/>
    </w:rPr>
  </w:style>
  <w:style w:type="character" w:styleId="951">
    <w:name w:val="hour_am"/>
    <w:next w:val="951"/>
    <w:link w:val="895"/>
  </w:style>
  <w:style w:type="character" w:styleId="952">
    <w:name w:val="old"/>
    <w:next w:val="952"/>
    <w:link w:val="895"/>
    <w:rPr>
      <w:color w:val="999999"/>
    </w:rPr>
  </w:style>
  <w:style w:type="character" w:styleId="953">
    <w:name w:val="标题 2 Char,节 Char,Heading 2 Hidden Char,Heading 2 CCBS Char,H2 Char,sect 1.2 Char,H21 Char,sect 1.21 Char,H22 Char,sect 1.22 Char,H211 Char,sect 1.211 Char,H23 Char,sect 1.23 Char,H212 Char,sect 1.212 Char,2nd level Char,h2 Char,2 Char,Header 2 Char"/>
    <w:next w:val="953"/>
    <w:link w:val="895"/>
    <w:rPr>
      <w:rFonts w:ascii="Arial" w:hAnsi="Arial" w:eastAsia="黑体"/>
      <w:b/>
      <w:sz w:val="32"/>
      <w:lang w:val="en-US" w:eastAsia="zh-CN"/>
    </w:rPr>
  </w:style>
  <w:style w:type="character" w:styleId="954">
    <w:name w:val="hover"/>
    <w:next w:val="954"/>
    <w:link w:val="895"/>
    <w:rPr>
      <w:shd w:val="clear" w:color="auto" w:fill="eeeeee"/>
    </w:rPr>
  </w:style>
  <w:style w:type="character" w:styleId="955">
    <w:name w:val="hour_pm"/>
    <w:next w:val="955"/>
    <w:link w:val="895"/>
  </w:style>
  <w:style w:type="character" w:styleId="956">
    <w:name w:val="Font Style28"/>
    <w:next w:val="956"/>
    <w:link w:val="895"/>
    <w:rPr>
      <w:rFonts w:ascii="Constantia" w:hAnsi="Constantia" w:cs="Constantia"/>
      <w:sz w:val="28"/>
      <w:szCs w:val="28"/>
    </w:rPr>
  </w:style>
  <w:style w:type="character" w:styleId="957">
    <w:name w:val="Font Style29"/>
    <w:next w:val="957"/>
    <w:link w:val="895"/>
    <w:rPr>
      <w:rFonts w:ascii="Arial" w:hAnsi="Arial" w:cs="Arial"/>
      <w:sz w:val="14"/>
      <w:szCs w:val="14"/>
    </w:rPr>
  </w:style>
  <w:style w:type="character" w:styleId="958">
    <w:name w:val="Font Style37"/>
    <w:next w:val="958"/>
    <w:link w:val="895"/>
    <w:rPr>
      <w:rFonts w:ascii="Arial" w:hAnsi="Arial" w:cs="Arial"/>
      <w:sz w:val="16"/>
      <w:szCs w:val="16"/>
    </w:rPr>
  </w:style>
  <w:style w:type="character" w:styleId="959">
    <w:name w:val="Plain Text Char"/>
    <w:next w:val="959"/>
    <w:link w:val="895"/>
    <w:rPr>
      <w:rFonts w:ascii="宋体" w:hAnsi="Courier New" w:eastAsia="宋体"/>
      <w:sz w:val="21"/>
      <w:lang w:val="en-US" w:eastAsia="zh-CN" w:bidi="ar-SA"/>
    </w:rPr>
  </w:style>
  <w:style w:type="paragraph" w:styleId="960">
    <w:name w:val="Default"/>
    <w:next w:val="960"/>
    <w:link w:val="895"/>
    <w:pPr>
      <w:widowControl w:val="off"/>
    </w:pPr>
    <w:rPr>
      <w:rFonts w:ascii="仿宋" w:eastAsia="仿宋" w:cs="仿宋"/>
      <w:color w:val="000000"/>
      <w:sz w:val="24"/>
      <w:szCs w:val="24"/>
      <w:lang w:val="en-US" w:eastAsia="zh-CN" w:bidi="ar-SA"/>
    </w:rPr>
  </w:style>
  <w:style w:type="paragraph" w:styleId="961">
    <w:name w:val="默认段落字体 Para Char Char Char Char Char Char Char Char Char1 Char Char Char Char Char Char Char"/>
    <w:basedOn w:val="908"/>
    <w:next w:val="961"/>
    <w:link w:val="895"/>
    <w:rPr>
      <w:rFonts w:ascii="Tahoma" w:hAnsi="Tahoma"/>
      <w:sz w:val="24"/>
    </w:rPr>
  </w:style>
  <w:style w:type="paragraph" w:styleId="962">
    <w:name w:val="Style9"/>
    <w:basedOn w:val="895"/>
    <w:next w:val="962"/>
    <w:link w:val="895"/>
    <w:pPr>
      <w:jc w:val="left"/>
    </w:pPr>
    <w:rPr>
      <w:rFonts w:ascii="宋体"/>
      <w:sz w:val="24"/>
    </w:rPr>
  </w:style>
  <w:style w:type="paragraph" w:styleId="963">
    <w:name w:val="Char"/>
    <w:basedOn w:val="895"/>
    <w:next w:val="963"/>
    <w:link w:val="895"/>
    <w:pPr>
      <w:tabs>
        <w:tab w:val="left" w:pos="360" w:leader="none"/>
      </w:tabs>
    </w:pPr>
    <w:rPr>
      <w:sz w:val="24"/>
    </w:rPr>
  </w:style>
  <w:style w:type="paragraph" w:styleId="964">
    <w:name w:val=" Char Char Char1 Char Char Char Char"/>
    <w:basedOn w:val="895"/>
    <w:next w:val="964"/>
    <w:link w:val="895"/>
    <w:pPr>
      <w:jc w:val="left"/>
      <w:spacing w:after="160" w:line="240" w:lineRule="exact"/>
      <w:widowControl/>
    </w:pPr>
    <w:rPr>
      <w:rFonts w:ascii="宋体" w:hAnsi="宋体"/>
      <w:b/>
      <w:sz w:val="28"/>
      <w:szCs w:val="28"/>
    </w:rPr>
  </w:style>
  <w:style w:type="paragraph" w:styleId="965">
    <w:name w:val="Style10"/>
    <w:basedOn w:val="895"/>
    <w:next w:val="965"/>
    <w:link w:val="895"/>
    <w:pPr>
      <w:jc w:val="left"/>
    </w:pPr>
    <w:rPr>
      <w:rFonts w:ascii="宋体"/>
      <w:sz w:val="24"/>
    </w:rPr>
  </w:style>
  <w:style w:type="paragraph" w:styleId="966">
    <w:name w:val="首行缩进"/>
    <w:basedOn w:val="895"/>
    <w:next w:val="966"/>
    <w:link w:val="895"/>
    <w:qFormat/>
    <w:pPr>
      <w:ind w:firstLine="420"/>
      <w:spacing w:line="360" w:lineRule="auto"/>
    </w:pPr>
    <w:rPr>
      <w:sz w:val="20"/>
    </w:rPr>
  </w:style>
  <w:style w:type="paragraph" w:styleId="967">
    <w:name w:val="普通正文"/>
    <w:basedOn w:val="895"/>
    <w:next w:val="967"/>
    <w:link w:val="895"/>
    <w:pPr>
      <w:ind w:firstLine="480"/>
      <w:jc w:val="left"/>
      <w:spacing w:before="120" w:after="120" w:line="360" w:lineRule="auto"/>
    </w:pPr>
    <w:rPr>
      <w:rFonts w:ascii="Arial" w:hAnsi="Arial"/>
      <w:sz w:val="24"/>
    </w:rPr>
  </w:style>
  <w:style w:type="paragraph" w:styleId="968">
    <w:name w:val="要点标题"/>
    <w:basedOn w:val="895"/>
    <w:next w:val="968"/>
    <w:link w:val="895"/>
    <w:pPr>
      <w:numPr>
        <w:ilvl w:val="0"/>
        <w:numId w:val="1"/>
      </w:numPr>
      <w:jc w:val="left"/>
      <w:tabs>
        <w:tab w:val="left" w:pos="420" w:leader="none"/>
      </w:tabs>
    </w:pPr>
    <w:rPr>
      <w:rFonts w:ascii="宋体" w:hAnsi="宋体"/>
      <w:b/>
      <w:sz w:val="24"/>
    </w:rPr>
  </w:style>
  <w:style w:type="paragraph" w:styleId="969">
    <w:name w:val="文档正文"/>
    <w:basedOn w:val="895"/>
    <w:next w:val="969"/>
    <w:link w:val="895"/>
    <w:pPr>
      <w:ind w:firstLine="567"/>
      <w:spacing w:line="480" w:lineRule="atLeast"/>
    </w:pPr>
    <w:rPr>
      <w:rFonts w:ascii="仿宋_GB2312"/>
      <w:szCs w:val="20"/>
    </w:rPr>
  </w:style>
  <w:style w:type="paragraph" w:styleId="970">
    <w:name w:val="Char Char Char Char"/>
    <w:basedOn w:val="908"/>
    <w:next w:val="970"/>
    <w:link w:val="895"/>
    <w:pPr>
      <w:spacing w:line="360" w:lineRule="auto"/>
    </w:pPr>
    <w:rPr>
      <w:rFonts w:ascii="Tahoma" w:hAnsi="Tahoma"/>
      <w:sz w:val="24"/>
    </w:rPr>
  </w:style>
  <w:style w:type="paragraph" w:styleId="971">
    <w:name w:val=" Char"/>
    <w:basedOn w:val="895"/>
    <w:next w:val="971"/>
    <w:link w:val="895"/>
    <w:pPr>
      <w:ind w:left="420" w:hanging="420"/>
      <w:jc w:val="left"/>
      <w:tabs>
        <w:tab w:val="left" w:pos="420" w:leader="none"/>
      </w:tabs>
    </w:pPr>
    <w:rPr>
      <w:szCs w:val="20"/>
    </w:rPr>
  </w:style>
  <w:style w:type="paragraph" w:styleId="972">
    <w:name w:val="正文（无缩进）"/>
    <w:basedOn w:val="895"/>
    <w:next w:val="972"/>
    <w:link w:val="895"/>
    <w:qFormat/>
    <w:pPr>
      <w:spacing w:line="360" w:lineRule="auto"/>
    </w:pPr>
    <w:rPr>
      <w:rFonts w:ascii="Calibri" w:hAnsi="Calibri"/>
      <w:sz w:val="24"/>
      <w:szCs w:val="21"/>
    </w:rPr>
  </w:style>
  <w:style w:type="paragraph" w:styleId="973">
    <w:name w:val="Style11"/>
    <w:basedOn w:val="895"/>
    <w:next w:val="973"/>
    <w:link w:val="895"/>
    <w:pPr>
      <w:jc w:val="left"/>
      <w:spacing w:line="446" w:lineRule="exact"/>
    </w:pPr>
    <w:rPr>
      <w:rFonts w:ascii="宋体"/>
      <w:sz w:val="24"/>
    </w:rPr>
  </w:style>
  <w:style w:type="paragraph" w:styleId="974">
    <w:name w:val="样式1"/>
    <w:basedOn w:val="895"/>
    <w:next w:val="974"/>
    <w:link w:val="895"/>
    <w:pPr>
      <w:numPr>
        <w:ilvl w:val="0"/>
        <w:numId w:val="2"/>
      </w:numPr>
      <w:tabs>
        <w:tab w:val="left" w:pos="1110" w:leader="none"/>
      </w:tabs>
    </w:pPr>
    <w:rPr>
      <w:rFonts w:ascii="宋体" w:hAnsi="宋体"/>
      <w:szCs w:val="21"/>
    </w:rPr>
  </w:style>
  <w:style w:type="paragraph" w:styleId="975">
    <w:name w:val="_Style 56"/>
    <w:basedOn w:val="908"/>
    <w:next w:val="975"/>
    <w:link w:val="895"/>
    <w:pPr>
      <w:spacing w:line="436" w:lineRule="exact"/>
    </w:pPr>
    <w:rPr>
      <w:szCs w:val="20"/>
    </w:rPr>
  </w:style>
  <w:style w:type="paragraph" w:styleId="976">
    <w:name w:val="Char Char1 Char Char Char Char Char Char"/>
    <w:basedOn w:val="895"/>
    <w:next w:val="976"/>
    <w:link w:val="895"/>
    <w:pPr>
      <w:jc w:val="center"/>
      <w:widowControl/>
    </w:pPr>
    <w:rPr>
      <w:rFonts w:ascii="宋体" w:hAnsi="宋体"/>
      <w:b/>
      <w:sz w:val="24"/>
      <w:lang w:eastAsia="en-US"/>
    </w:rPr>
  </w:style>
  <w:style w:type="paragraph" w:styleId="977">
    <w:name w:val="Char1"/>
    <w:basedOn w:val="895"/>
    <w:next w:val="977"/>
    <w:link w:val="895"/>
    <w:pPr>
      <w:ind w:left="840" w:hanging="420"/>
      <w:tabs>
        <w:tab w:val="left" w:pos="840" w:leader="none"/>
      </w:tabs>
    </w:pPr>
    <w:rPr>
      <w:sz w:val="24"/>
    </w:rPr>
  </w:style>
  <w:style w:type="paragraph" w:styleId="978">
    <w:name w:val="我的样式"/>
    <w:basedOn w:val="896"/>
    <w:next w:val="895"/>
    <w:link w:val="895"/>
    <w:pPr>
      <w:numPr>
        <w:ilvl w:val="0"/>
        <w:numId w:val="3"/>
      </w:numPr>
      <w:spacing w:line="360" w:lineRule="auto"/>
    </w:pPr>
    <w:rPr>
      <w:rFonts w:ascii="仿宋_GB2312" w:eastAsia="仿宋_GB2312"/>
      <w:sz w:val="32"/>
      <w:szCs w:val="30"/>
    </w:rPr>
  </w:style>
  <w:style w:type="paragraph" w:styleId="979">
    <w:name w:val="表格正文"/>
    <w:next w:val="979"/>
    <w:link w:val="895"/>
    <w:pPr>
      <w:spacing w:line="0" w:lineRule="atLeast"/>
    </w:pPr>
    <w:rPr>
      <w:sz w:val="24"/>
      <w:szCs w:val="24"/>
      <w:lang w:val="en-US" w:eastAsia="zh-CN" w:bidi="he-IL"/>
    </w:rPr>
  </w:style>
  <w:style w:type="paragraph" w:styleId="980">
    <w:name w:val=" Char Char Char Char Char Char Char Char Char Char Char Char Char"/>
    <w:basedOn w:val="895"/>
    <w:next w:val="980"/>
    <w:link w:val="895"/>
    <w:pPr>
      <w:jc w:val="left"/>
      <w:spacing w:after="160" w:line="240" w:lineRule="exact"/>
      <w:widowControl/>
    </w:pPr>
    <w:rPr>
      <w:rFonts w:ascii="Verdana" w:hAnsi="Verdana"/>
      <w:sz w:val="20"/>
      <w:szCs w:val="20"/>
      <w:lang w:eastAsia="en-US"/>
    </w:rPr>
  </w:style>
  <w:style w:type="paragraph" w:styleId="981">
    <w:name w:val="标题1"/>
    <w:basedOn w:val="896"/>
    <w:next w:val="895"/>
    <w:link w:val="895"/>
    <w:pPr>
      <w:numPr>
        <w:ilvl w:val="0"/>
        <w:numId w:val="2"/>
      </w:numPr>
      <w:jc w:val="left"/>
      <w:spacing w:line="578" w:lineRule="atLeast"/>
    </w:pPr>
  </w:style>
  <w:style w:type="paragraph" w:styleId="982">
    <w:name w:val="正文（缩进） Char1"/>
    <w:basedOn w:val="895"/>
    <w:next w:val="982"/>
    <w:link w:val="895"/>
    <w:pPr>
      <w:ind w:firstLine="480"/>
      <w:spacing w:before="156" w:after="156" w:line="360" w:lineRule="auto"/>
    </w:pPr>
    <w:rPr>
      <w:sz w:val="24"/>
    </w:rPr>
  </w:style>
  <w:style w:type="paragraph" w:styleId="983">
    <w:name w:val="修订"/>
    <w:next w:val="983"/>
    <w:link w:val="895"/>
    <w:uiPriority w:val="99"/>
    <w:semiHidden/>
    <w:rPr>
      <w:sz w:val="21"/>
      <w:szCs w:val="24"/>
      <w:lang w:val="en-US" w:eastAsia="zh-CN" w:bidi="ar-SA"/>
    </w:rPr>
  </w:style>
  <w:style w:type="paragraph" w:styleId="984">
    <w:name w:val="Style12"/>
    <w:basedOn w:val="895"/>
    <w:next w:val="984"/>
    <w:link w:val="895"/>
    <w:pPr>
      <w:jc w:val="left"/>
    </w:pPr>
    <w:rPr>
      <w:rFonts w:ascii="宋体"/>
      <w:sz w:val="24"/>
    </w:rPr>
  </w:style>
  <w:style w:type="paragraph" w:styleId="985">
    <w:name w:val="List Paragraph"/>
    <w:basedOn w:val="895"/>
    <w:next w:val="985"/>
    <w:link w:val="895"/>
    <w:uiPriority w:val="34"/>
    <w:qFormat/>
    <w:pPr>
      <w:ind w:firstLine="420"/>
    </w:pPr>
    <w:rPr>
      <w:rFonts w:ascii="Calibri" w:hAnsi="Calibri"/>
      <w:szCs w:val="22"/>
    </w:rPr>
  </w:style>
  <w:style w:type="paragraph" w:styleId="986">
    <w:name w:val="普通(网站)1"/>
    <w:basedOn w:val="895"/>
    <w:next w:val="986"/>
    <w:link w:val="895"/>
    <w:unhideWhenUsed/>
    <w:qFormat/>
    <w:pPr>
      <w:jc w:val="left"/>
      <w:spacing w:before="100" w:beforeAutospacing="1" w:after="100" w:afterAutospacing="1"/>
      <w:widowControl/>
    </w:pPr>
    <w:rPr>
      <w:rFonts w:ascii="宋体" w:hAnsi="宋体" w:cs="宋体"/>
      <w:sz w:val="24"/>
    </w:rPr>
  </w:style>
  <w:style w:type="character" w:styleId="987" w:default="1">
    <w:name w:val="Default Paragraph Font"/>
    <w:uiPriority w:val="1"/>
    <w:semiHidden/>
    <w:unhideWhenUsed/>
  </w:style>
  <w:style w:type="numbering" w:styleId="988" w:default="1">
    <w:name w:val="No List"/>
    <w:uiPriority w:val="99"/>
    <w:semiHidden/>
    <w:unhideWhenUsed/>
  </w:style>
  <w:style w:type="table" w:styleId="9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刘乃源</cp:lastModifiedBy>
  <cp:revision>6</cp:revision>
  <dcterms:created xsi:type="dcterms:W3CDTF">2024-01-08T08:47:00Z</dcterms:created>
  <dcterms:modified xsi:type="dcterms:W3CDTF">2025-10-27T07:11:47Z</dcterms:modified>
</cp:coreProperties>
</file>